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BA5EB" w14:textId="77777777" w:rsidR="00A14608" w:rsidRPr="007364BD" w:rsidRDefault="00000000" w:rsidP="004E1F91">
      <w:pPr>
        <w:pStyle w:val="Heading2"/>
        <w:keepNext w:val="0"/>
        <w:keepLines w:val="0"/>
        <w:spacing w:before="0" w:after="0" w:line="276" w:lineRule="auto"/>
        <w:jc w:val="center"/>
        <w:rPr>
          <w:rFonts w:ascii="Arial" w:eastAsia="Times New Roman" w:hAnsi="Arial"/>
          <w:b/>
          <w:bCs/>
          <w:color w:val="000000" w:themeColor="text1"/>
          <w:sz w:val="24"/>
          <w:szCs w:val="24"/>
        </w:rPr>
      </w:pPr>
      <w:bookmarkStart w:id="0" w:name="_qh19jm5kpaj2" w:colFirst="0" w:colLast="0"/>
      <w:bookmarkEnd w:id="0"/>
      <w:r w:rsidRPr="007364BD">
        <w:rPr>
          <w:rFonts w:ascii="Arial" w:eastAsia="Times New Roman" w:hAnsi="Arial"/>
          <w:b/>
          <w:bCs/>
          <w:color w:val="000000" w:themeColor="text1"/>
          <w:sz w:val="24"/>
          <w:szCs w:val="24"/>
        </w:rPr>
        <w:t>LEVERAGING FINANCIAL EDUCATION AS A STRATEGY IN THE BLUE OCEAN, DETERMINING THE ROLE OF INVESTMENT TECH APPS AS THE TORCH BEARER OF FINANCIAL LITERACY INITIATIVE IN INDIA.</w:t>
      </w:r>
    </w:p>
    <w:p w14:paraId="66791DDB" w14:textId="77777777" w:rsidR="00A14608" w:rsidRPr="007364BD" w:rsidRDefault="00000000" w:rsidP="004E1F91">
      <w:pPr>
        <w:pStyle w:val="Heading2"/>
        <w:keepNext w:val="0"/>
        <w:keepLines w:val="0"/>
        <w:spacing w:before="0" w:after="0" w:line="276" w:lineRule="auto"/>
        <w:rPr>
          <w:rFonts w:ascii="Arial" w:eastAsia="Times New Roman" w:hAnsi="Arial"/>
          <w:b/>
          <w:bCs/>
          <w:color w:val="000000" w:themeColor="text1"/>
          <w:sz w:val="20"/>
          <w:szCs w:val="20"/>
        </w:rPr>
      </w:pPr>
      <w:bookmarkStart w:id="1" w:name="_i751i450wwn0" w:colFirst="0" w:colLast="0"/>
      <w:bookmarkEnd w:id="1"/>
      <w:r w:rsidRPr="007364BD">
        <w:rPr>
          <w:rFonts w:ascii="Arial" w:eastAsia="Times New Roman" w:hAnsi="Arial"/>
          <w:b/>
          <w:bCs/>
          <w:color w:val="000000" w:themeColor="text1"/>
          <w:sz w:val="20"/>
          <w:szCs w:val="20"/>
        </w:rPr>
        <w:t>ABSTRACT</w:t>
      </w:r>
    </w:p>
    <w:p w14:paraId="4F7B5391" w14:textId="79A57BCC" w:rsidR="00A14608" w:rsidRPr="007364BD" w:rsidRDefault="00B13234" w:rsidP="004E1F91">
      <w:pPr>
        <w:spacing w:line="276" w:lineRule="auto"/>
        <w:ind w:firstLine="720"/>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 xml:space="preserve">This research explores the impact of financial education as a strategic means to harness the latent growth of the Indian securities market, viewed as a blue ocean opportunity. While investors are generally well-informed about financial instruments, there remains a considerable knowledge-behaviour gap. The study, which leverages data from the Securities and Exchange Board of India Investor Survey 2025 for the National Capital Region (NCR), employs a quantitative methodology, including descriptive statistics, cross-tabulation, exploratory factor analysis (EFA), and Partial Least Squares Structural Equation Modelling (PLS-SEM). Results show that financial education positively impacts investor knowledge but has a modest direct effect on investor participation because of the prevalent behavioural and psychological constraints such as fear of loss, uncertainty, and trust. Moreover, the research shows that investment tech apps are emerging as financial education enablers, serving as transactional or educational platforms. But their role in tackling behavioural barriers is still limited. The study concludes that closing the knowledge–practice gap demands a holistic strategy integrating financial education, behavioural strategies and user-friendly platform design. This suggests a transition from information dissemination to behaviour-focused financial inclusion initiatives in the dynamic investment space in India. </w:t>
      </w:r>
      <w:r w:rsidR="00201C9F" w:rsidRPr="007364BD">
        <w:rPr>
          <w:rFonts w:ascii="Arial" w:eastAsia="Times New Roman" w:hAnsi="Arial"/>
          <w:color w:val="000000" w:themeColor="text1"/>
          <w:sz w:val="20"/>
          <w:szCs w:val="20"/>
        </w:rPr>
        <w:t xml:space="preserve">There exists a knowledge-action gap; though the knowledge of the financial instruments is quite high, the securities market in India is not penetrated to a large extent. We will discuss the results of the SEBI Investor Survey 2025, which covers the NCR in this paper. This is done through a quantitative method by performing frequency </w:t>
      </w:r>
      <w:r w:rsidR="00201C9F" w:rsidRPr="007364BD">
        <w:rPr>
          <w:rFonts w:ascii="Arial" w:eastAsia="Times New Roman" w:hAnsi="Arial"/>
          <w:color w:val="000000" w:themeColor="text1"/>
          <w:sz w:val="20"/>
          <w:szCs w:val="20"/>
        </w:rPr>
        <w:t>analysis, cross-tabulation, and a conceptual model of education and its relationship with behavioural outcomes. The results demonstrate that financial education can contribute to lessening informational barriers but is not able to eliminate psychological constraints completely. The study is also useful as it places investment apps as strategic facilitators of financial literacy and avails them as an instrument of closing the knowledge-action divide and opening the blue ocean of potential investors in India that remains untapped.</w:t>
      </w:r>
    </w:p>
    <w:p w14:paraId="00E7E0C1" w14:textId="349E3E62" w:rsidR="002017EB" w:rsidRPr="007364BD" w:rsidRDefault="002017EB" w:rsidP="004E1F91">
      <w:pPr>
        <w:spacing w:line="276" w:lineRule="auto"/>
        <w:rPr>
          <w:rFonts w:ascii="Arial" w:eastAsia="Times New Roman" w:hAnsi="Arial"/>
          <w:b/>
          <w:bCs/>
          <w:color w:val="000000" w:themeColor="text1"/>
          <w:sz w:val="20"/>
          <w:szCs w:val="20"/>
          <w:lang w:val="en-IN"/>
        </w:rPr>
      </w:pPr>
      <w:r w:rsidRPr="007364BD">
        <w:rPr>
          <w:rFonts w:ascii="Arial" w:eastAsia="Times New Roman" w:hAnsi="Arial"/>
          <w:b/>
          <w:bCs/>
          <w:color w:val="000000" w:themeColor="text1"/>
          <w:sz w:val="20"/>
          <w:szCs w:val="20"/>
          <w:lang w:val="en-IN"/>
        </w:rPr>
        <w:t xml:space="preserve">Keywords: </w:t>
      </w:r>
    </w:p>
    <w:p w14:paraId="1DA3C451" w14:textId="5D743254" w:rsidR="002017EB" w:rsidRPr="007364BD" w:rsidRDefault="002017EB" w:rsidP="004E1F91">
      <w:pPr>
        <w:spacing w:line="276" w:lineRule="auto"/>
        <w:rPr>
          <w:rFonts w:ascii="Arial" w:eastAsia="Times New Roman" w:hAnsi="Arial"/>
          <w:color w:val="000000" w:themeColor="text1"/>
          <w:sz w:val="20"/>
          <w:szCs w:val="20"/>
          <w:lang w:val="en-IN"/>
        </w:rPr>
      </w:pPr>
      <w:r w:rsidRPr="007364BD">
        <w:rPr>
          <w:rFonts w:ascii="Arial" w:eastAsia="Times New Roman" w:hAnsi="Arial"/>
          <w:color w:val="000000" w:themeColor="text1"/>
          <w:sz w:val="20"/>
          <w:szCs w:val="20"/>
          <w:lang w:val="en-IN"/>
        </w:rPr>
        <w:t>Financial Literacy, Investment Behaviour, FinTech Applications, Behavioural Finance, Financial Inclusion, Blue Ocean Strategy</w:t>
      </w:r>
    </w:p>
    <w:p w14:paraId="4941C8ED" w14:textId="77777777" w:rsidR="00A14608" w:rsidRPr="007364BD" w:rsidRDefault="00000000" w:rsidP="004E1F91">
      <w:pPr>
        <w:pStyle w:val="Heading2"/>
        <w:keepNext w:val="0"/>
        <w:keepLines w:val="0"/>
        <w:spacing w:before="0" w:after="0" w:line="276" w:lineRule="auto"/>
        <w:rPr>
          <w:rFonts w:ascii="Arial" w:eastAsia="Times New Roman" w:hAnsi="Arial"/>
          <w:b/>
          <w:bCs/>
          <w:color w:val="000000" w:themeColor="text1"/>
          <w:sz w:val="20"/>
          <w:szCs w:val="20"/>
        </w:rPr>
      </w:pPr>
      <w:bookmarkStart w:id="2" w:name="_u9x8vs1bm9m1" w:colFirst="0" w:colLast="0"/>
      <w:bookmarkEnd w:id="2"/>
      <w:r w:rsidRPr="007364BD">
        <w:rPr>
          <w:rFonts w:ascii="Arial" w:eastAsia="Times New Roman" w:hAnsi="Arial"/>
          <w:b/>
          <w:bCs/>
          <w:color w:val="000000" w:themeColor="text1"/>
          <w:sz w:val="20"/>
          <w:szCs w:val="20"/>
        </w:rPr>
        <w:t>INTRODUCTION</w:t>
      </w:r>
    </w:p>
    <w:p w14:paraId="7BC61179" w14:textId="31A54613" w:rsidR="00A14608" w:rsidRPr="007364BD" w:rsidRDefault="00000000" w:rsidP="004E1F91">
      <w:pPr>
        <w:spacing w:line="276" w:lineRule="auto"/>
        <w:ind w:firstLine="720"/>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In the Indian securities market, there is an apparent lack of awareness and participation. The Investor Survey 2025 by SEBI reveals that although 63 percent of the Indian households are familiar with some product of the securities market, just 9.5 percent of the households are actually investing in a product, and the NCT of Delhi has the highest state-level penetration of 20.7 percent. Meanwhile, the survey points out the complexity and information gaps as the most prevalent obstacles to participation, and education and information as the key drivers of investment. Such results suggest the inability of awareness to become confident investment behaviour is the central issue, rather than the access to markets. This void renders the securities market a blue ocean opportunity, whereby a huge number of potential investors are yet to be reached. It is not only an economic but a behavioural problem</w:t>
      </w:r>
      <w:r w:rsidR="00A253EC" w:rsidRPr="007364BD">
        <w:rPr>
          <w:rFonts w:ascii="Arial" w:eastAsia="Times New Roman" w:hAnsi="Arial"/>
          <w:color w:val="000000" w:themeColor="text1"/>
          <w:sz w:val="20"/>
          <w:szCs w:val="20"/>
        </w:rPr>
        <w:t xml:space="preserve"> where</w:t>
      </w:r>
      <w:r w:rsidRPr="007364BD">
        <w:rPr>
          <w:rFonts w:ascii="Arial" w:eastAsia="Times New Roman" w:hAnsi="Arial"/>
          <w:color w:val="000000" w:themeColor="text1"/>
          <w:sz w:val="20"/>
          <w:szCs w:val="20"/>
        </w:rPr>
        <w:t xml:space="preserve"> people are afraid to lose, they do not know where to start, people are not so sure about financial products, and it is too complicated to process all the market information they can get. In this regard, financial inclusion in India cannot be done by just availing products, and it needs mechanisms that transform awareness into understanding and understanding into participation. New data is in </w:t>
      </w:r>
      <w:r w:rsidR="00335FEF" w:rsidRPr="007364BD">
        <w:rPr>
          <w:rFonts w:ascii="Arial" w:eastAsia="Times New Roman" w:hAnsi="Arial"/>
          <w:color w:val="000000" w:themeColor="text1"/>
          <w:sz w:val="20"/>
          <w:szCs w:val="20"/>
        </w:rPr>
        <w:t>favour</w:t>
      </w:r>
      <w:r w:rsidRPr="007364BD">
        <w:rPr>
          <w:rFonts w:ascii="Arial" w:eastAsia="Times New Roman" w:hAnsi="Arial"/>
          <w:color w:val="000000" w:themeColor="text1"/>
          <w:sz w:val="20"/>
          <w:szCs w:val="20"/>
        </w:rPr>
        <w:t xml:space="preserve"> of this opinion. The entry frictions and participation can be minimized with the help of digital finance platforms, whereas financial literacy is still positively correlated with </w:t>
      </w:r>
      <w:r w:rsidRPr="007364BD">
        <w:rPr>
          <w:rFonts w:ascii="Arial" w:eastAsia="Times New Roman" w:hAnsi="Arial"/>
          <w:color w:val="000000" w:themeColor="text1"/>
          <w:sz w:val="20"/>
          <w:szCs w:val="20"/>
        </w:rPr>
        <w:lastRenderedPageBreak/>
        <w:t>investment decisions and stock market participation. (Lu et al., 2023)</w:t>
      </w:r>
    </w:p>
    <w:p w14:paraId="789945F1" w14:textId="77777777" w:rsidR="00A14608" w:rsidRPr="007364BD" w:rsidRDefault="00000000" w:rsidP="004E1F91">
      <w:pPr>
        <w:spacing w:line="276" w:lineRule="auto"/>
        <w:ind w:firstLine="720"/>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Financial education is thus a strategic intervention as opposed to a peripheral intervention. The survey conducted by SEBI indicates that investors are more inclined to use digital-first educational modes, in particular, social media, mobile applications, TV/digital advertising, videos, online courses, and in Hindi or regional languages. These tastes are highly applicable since they are similar to how investment apps provide learning in the present day, via briefings, explainers, weblogs, tutorials, and in-app guidance. Being the first to contact the new investor, they are also becoming non-formal teachers as digital platforms are taking the place of the initial encounter. It aligns with recent studies that indicate peers, media, and financial literacy have an impact on investment decisions, and digital financial platforms have the potential to increase involvement in the market by reducing information and access barriers (</w:t>
      </w:r>
      <w:proofErr w:type="spellStart"/>
      <w:r w:rsidRPr="007364BD">
        <w:rPr>
          <w:rFonts w:ascii="Arial" w:eastAsia="Times New Roman" w:hAnsi="Arial"/>
          <w:color w:val="000000" w:themeColor="text1"/>
          <w:sz w:val="20"/>
          <w:szCs w:val="20"/>
        </w:rPr>
        <w:t>Yanuarti</w:t>
      </w:r>
      <w:proofErr w:type="spellEnd"/>
      <w:r w:rsidRPr="007364BD">
        <w:rPr>
          <w:rFonts w:ascii="Arial" w:eastAsia="Times New Roman" w:hAnsi="Arial"/>
          <w:color w:val="000000" w:themeColor="text1"/>
          <w:sz w:val="20"/>
          <w:szCs w:val="20"/>
        </w:rPr>
        <w:t xml:space="preserve"> Loebiantoro et al., 2024). Based on this, this paper investigates the possibility of financial education and platform support as a feasible approach to enhance engagement in the Indian securities market. The area of study is the NCR region, where the investor penetration is most intense, and both intermediary and respondent survey data are utilized to measure the barriers, motivation, and support requirements. The aims are to find the key obstacles and motivational factors, evaluate the importance of financial education, and determine the power of the support, as well as investor education measures in participation formation.</w:t>
      </w:r>
    </w:p>
    <w:p w14:paraId="2B1D197A" w14:textId="77777777" w:rsidR="00A14608" w:rsidRPr="007364BD" w:rsidRDefault="00000000" w:rsidP="004E1F91">
      <w:pPr>
        <w:pStyle w:val="Heading2"/>
        <w:keepNext w:val="0"/>
        <w:keepLines w:val="0"/>
        <w:spacing w:before="0" w:after="0" w:line="276" w:lineRule="auto"/>
        <w:rPr>
          <w:rFonts w:ascii="Arial" w:eastAsia="Times New Roman" w:hAnsi="Arial"/>
          <w:b/>
          <w:bCs/>
          <w:color w:val="000000" w:themeColor="text1"/>
          <w:sz w:val="20"/>
          <w:szCs w:val="20"/>
        </w:rPr>
      </w:pPr>
      <w:bookmarkStart w:id="3" w:name="_7fm8ho7pxm35" w:colFirst="0" w:colLast="0"/>
      <w:bookmarkEnd w:id="3"/>
      <w:r w:rsidRPr="007364BD">
        <w:rPr>
          <w:rFonts w:ascii="Arial" w:eastAsia="Times New Roman" w:hAnsi="Arial"/>
          <w:b/>
          <w:bCs/>
          <w:color w:val="000000" w:themeColor="text1"/>
          <w:sz w:val="20"/>
          <w:szCs w:val="20"/>
        </w:rPr>
        <w:t>LITERATURE REVIEW</w:t>
      </w:r>
    </w:p>
    <w:p w14:paraId="16671897" w14:textId="77777777" w:rsidR="00A14608" w:rsidRPr="007364BD" w:rsidRDefault="00000000" w:rsidP="004E1F91">
      <w:pPr>
        <w:pStyle w:val="Heading3"/>
        <w:keepNext w:val="0"/>
        <w:keepLines w:val="0"/>
        <w:spacing w:before="0" w:after="0" w:line="276" w:lineRule="auto"/>
        <w:rPr>
          <w:rFonts w:ascii="Arial" w:eastAsia="Times New Roman" w:hAnsi="Arial"/>
          <w:b/>
          <w:bCs/>
          <w:color w:val="000000" w:themeColor="text1"/>
          <w:sz w:val="20"/>
          <w:szCs w:val="20"/>
        </w:rPr>
      </w:pPr>
      <w:bookmarkStart w:id="4" w:name="_3g5htfgkkje5" w:colFirst="0" w:colLast="0"/>
      <w:bookmarkEnd w:id="4"/>
      <w:r w:rsidRPr="007364BD">
        <w:rPr>
          <w:rFonts w:ascii="Arial" w:eastAsia="Times New Roman" w:hAnsi="Arial"/>
          <w:b/>
          <w:bCs/>
          <w:color w:val="000000" w:themeColor="text1"/>
          <w:sz w:val="20"/>
          <w:szCs w:val="20"/>
        </w:rPr>
        <w:t>Financial Literacy and Behaviour</w:t>
      </w:r>
    </w:p>
    <w:p w14:paraId="0C272656" w14:textId="1F432B6F" w:rsidR="00A14608" w:rsidRPr="007364BD" w:rsidRDefault="00000000" w:rsidP="004E1F91">
      <w:pPr>
        <w:spacing w:line="276" w:lineRule="auto"/>
        <w:ind w:firstLine="720"/>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 xml:space="preserve">There is a great deal of research that demonstrates that financial literacy has a positive correlation with investment participation and the quality of investment. The more financially savvy the investors, the more likely they are to invest, diversify, and make more long-term goals-oriented decisions. Empirical studies indicate this relationship in recent research. Sancak &amp; Demirbaş (2024) discover that financial literacy is a great influence on university students to be involved in financial investment markets, </w:t>
      </w:r>
      <w:r w:rsidRPr="007364BD">
        <w:rPr>
          <w:rFonts w:ascii="Arial" w:eastAsia="Times New Roman" w:hAnsi="Arial"/>
          <w:color w:val="000000" w:themeColor="text1"/>
          <w:sz w:val="20"/>
          <w:szCs w:val="20"/>
        </w:rPr>
        <w:t xml:space="preserve">whereas Lu et al. (2024) reveal that digital finance platforms have the capability to raise the propensity of households to engage in the stock market. Likewise, a </w:t>
      </w:r>
      <w:proofErr w:type="spellStart"/>
      <w:r w:rsidRPr="007364BD">
        <w:rPr>
          <w:rFonts w:ascii="Arial" w:eastAsia="Times New Roman" w:hAnsi="Arial"/>
          <w:color w:val="000000" w:themeColor="text1"/>
          <w:sz w:val="20"/>
          <w:szCs w:val="20"/>
        </w:rPr>
        <w:t>SmartPLS</w:t>
      </w:r>
      <w:proofErr w:type="spellEnd"/>
      <w:r w:rsidRPr="007364BD">
        <w:rPr>
          <w:rFonts w:ascii="Arial" w:eastAsia="Times New Roman" w:hAnsi="Arial"/>
          <w:color w:val="000000" w:themeColor="text1"/>
          <w:sz w:val="20"/>
          <w:szCs w:val="20"/>
        </w:rPr>
        <w:t>-based analysis of Gen Z investors in Indonesia reveals that financial literacy is a direct predictor of investment decisions, as well as mediates the impact of education, media, and peer influence on investment decisions</w:t>
      </w:r>
      <w:r w:rsidR="0082550B" w:rsidRPr="007364BD">
        <w:rPr>
          <w:rFonts w:ascii="Arial" w:eastAsia="Times New Roman" w:hAnsi="Arial"/>
          <w:color w:val="000000" w:themeColor="text1"/>
          <w:sz w:val="20"/>
          <w:szCs w:val="20"/>
        </w:rPr>
        <w:t xml:space="preserve"> (</w:t>
      </w:r>
      <w:proofErr w:type="spellStart"/>
      <w:r w:rsidR="0082550B" w:rsidRPr="007364BD">
        <w:rPr>
          <w:rFonts w:ascii="Arial" w:eastAsia="Times New Roman" w:hAnsi="Arial"/>
          <w:color w:val="000000" w:themeColor="text1"/>
          <w:sz w:val="20"/>
          <w:szCs w:val="20"/>
        </w:rPr>
        <w:t>Nilawati</w:t>
      </w:r>
      <w:proofErr w:type="spellEnd"/>
      <w:r w:rsidR="0082550B" w:rsidRPr="007364BD">
        <w:rPr>
          <w:rFonts w:ascii="Arial" w:eastAsia="Times New Roman" w:hAnsi="Arial"/>
          <w:color w:val="000000" w:themeColor="text1"/>
          <w:sz w:val="20"/>
          <w:szCs w:val="20"/>
        </w:rPr>
        <w:t xml:space="preserve"> &amp; </w:t>
      </w:r>
      <w:proofErr w:type="spellStart"/>
      <w:r w:rsidR="0082550B" w:rsidRPr="007364BD">
        <w:rPr>
          <w:rFonts w:ascii="Arial" w:eastAsia="Times New Roman" w:hAnsi="Arial"/>
          <w:color w:val="000000" w:themeColor="text1"/>
          <w:sz w:val="20"/>
          <w:szCs w:val="20"/>
        </w:rPr>
        <w:t>Ainiah</w:t>
      </w:r>
      <w:proofErr w:type="spellEnd"/>
      <w:r w:rsidR="0082550B" w:rsidRPr="007364BD">
        <w:rPr>
          <w:rFonts w:ascii="Arial" w:eastAsia="Times New Roman" w:hAnsi="Arial"/>
          <w:color w:val="000000" w:themeColor="text1"/>
          <w:sz w:val="20"/>
          <w:szCs w:val="20"/>
        </w:rPr>
        <w:t>, 2025)</w:t>
      </w:r>
      <w:r w:rsidRPr="007364BD">
        <w:rPr>
          <w:rFonts w:ascii="Arial" w:eastAsia="Times New Roman" w:hAnsi="Arial"/>
          <w:color w:val="000000" w:themeColor="text1"/>
          <w:sz w:val="20"/>
          <w:szCs w:val="20"/>
        </w:rPr>
        <w:t>.</w:t>
      </w:r>
      <w:r w:rsidR="00526CFD" w:rsidRPr="007364BD">
        <w:rPr>
          <w:rFonts w:ascii="Arial" w:eastAsia="Times New Roman" w:hAnsi="Arial"/>
          <w:color w:val="000000" w:themeColor="text1"/>
          <w:sz w:val="20"/>
          <w:szCs w:val="20"/>
        </w:rPr>
        <w:t xml:space="preserve"> The complex dynamics between financial literacy, fintech and investment are additionally corroborated by recent research. The impact of financial literacy on investment remains significant; but these effects are often moderated by behavioural factors. For example, Aoun et al. (2026) confirm that financial literacy plays an important role in the financial behaviour of millennials, but this is enhanced through the role of financial attitudes, especially in a period of economic uncertainty. Likewise, </w:t>
      </w:r>
      <w:proofErr w:type="spellStart"/>
      <w:r w:rsidR="00526CFD" w:rsidRPr="007364BD">
        <w:rPr>
          <w:rFonts w:ascii="Arial" w:eastAsia="Times New Roman" w:hAnsi="Arial"/>
          <w:color w:val="000000" w:themeColor="text1"/>
          <w:sz w:val="20"/>
          <w:szCs w:val="20"/>
        </w:rPr>
        <w:t>Lakoni</w:t>
      </w:r>
      <w:proofErr w:type="spellEnd"/>
      <w:r w:rsidR="00526CFD" w:rsidRPr="007364BD">
        <w:rPr>
          <w:rFonts w:ascii="Arial" w:eastAsia="Times New Roman" w:hAnsi="Arial"/>
          <w:color w:val="000000" w:themeColor="text1"/>
          <w:sz w:val="20"/>
          <w:szCs w:val="20"/>
        </w:rPr>
        <w:t xml:space="preserve"> et al. (2023) establish that greater literacy enhances stock market participation, and </w:t>
      </w:r>
      <w:proofErr w:type="spellStart"/>
      <w:r w:rsidR="00526CFD" w:rsidRPr="007364BD">
        <w:rPr>
          <w:rFonts w:ascii="Arial" w:eastAsia="Times New Roman" w:hAnsi="Arial"/>
          <w:color w:val="000000" w:themeColor="text1"/>
          <w:sz w:val="20"/>
          <w:szCs w:val="20"/>
        </w:rPr>
        <w:t>Goso</w:t>
      </w:r>
      <w:proofErr w:type="spellEnd"/>
      <w:r w:rsidR="00526CFD" w:rsidRPr="007364BD">
        <w:rPr>
          <w:rFonts w:ascii="Arial" w:eastAsia="Times New Roman" w:hAnsi="Arial"/>
          <w:color w:val="000000" w:themeColor="text1"/>
          <w:sz w:val="20"/>
          <w:szCs w:val="20"/>
        </w:rPr>
        <w:t xml:space="preserve"> et al. (2025) show that online financial literacy affects financial decisions via behavioural management.</w:t>
      </w:r>
    </w:p>
    <w:p w14:paraId="54F65DAC" w14:textId="77777777" w:rsidR="00A14608" w:rsidRPr="007364BD" w:rsidRDefault="00000000" w:rsidP="004E1F91">
      <w:pPr>
        <w:pStyle w:val="Heading3"/>
        <w:keepNext w:val="0"/>
        <w:keepLines w:val="0"/>
        <w:spacing w:before="0" w:after="0" w:line="276" w:lineRule="auto"/>
        <w:rPr>
          <w:rFonts w:ascii="Arial" w:eastAsia="Times New Roman" w:hAnsi="Arial"/>
          <w:b/>
          <w:bCs/>
          <w:color w:val="000000" w:themeColor="text1"/>
          <w:sz w:val="20"/>
          <w:szCs w:val="20"/>
        </w:rPr>
      </w:pPr>
      <w:bookmarkStart w:id="5" w:name="_6k3b22xz6w68" w:colFirst="0" w:colLast="0"/>
      <w:bookmarkEnd w:id="5"/>
      <w:r w:rsidRPr="007364BD">
        <w:rPr>
          <w:rFonts w:ascii="Arial" w:eastAsia="Times New Roman" w:hAnsi="Arial"/>
          <w:b/>
          <w:bCs/>
          <w:color w:val="000000" w:themeColor="text1"/>
          <w:sz w:val="20"/>
          <w:szCs w:val="20"/>
        </w:rPr>
        <w:t>Barriers and Behavioural Finance</w:t>
      </w:r>
    </w:p>
    <w:p w14:paraId="0A7484AD" w14:textId="6D1CDCBB" w:rsidR="00A14608" w:rsidRPr="007364BD" w:rsidRDefault="00335FEF" w:rsidP="004E1F91">
      <w:pPr>
        <w:spacing w:line="276" w:lineRule="auto"/>
        <w:ind w:firstLine="720"/>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Behavioural finance illustrates the reasons why knowledge, per se, can be inadequate. Investors can still procrastinate due to fear of loss, lack of certainty of returns, lack of trust, and perceived complexity</w:t>
      </w:r>
      <w:r w:rsidR="0082550B" w:rsidRPr="007364BD">
        <w:rPr>
          <w:rFonts w:ascii="Arial" w:eastAsia="Times New Roman" w:hAnsi="Arial"/>
          <w:color w:val="000000" w:themeColor="text1"/>
          <w:sz w:val="20"/>
          <w:szCs w:val="20"/>
        </w:rPr>
        <w:t xml:space="preserve"> (K Arjun Goud et al., 2024)</w:t>
      </w:r>
      <w:r w:rsidRPr="007364BD">
        <w:rPr>
          <w:rFonts w:ascii="Arial" w:eastAsia="Times New Roman" w:hAnsi="Arial"/>
          <w:color w:val="000000" w:themeColor="text1"/>
          <w:sz w:val="20"/>
          <w:szCs w:val="20"/>
        </w:rPr>
        <w:t>. The recent survey of SEBI reflects this rationality of behaviour</w:t>
      </w:r>
      <w:r w:rsidR="00A253EC" w:rsidRPr="007364BD">
        <w:rPr>
          <w:rFonts w:ascii="Arial" w:eastAsia="Times New Roman" w:hAnsi="Arial"/>
          <w:color w:val="000000" w:themeColor="text1"/>
          <w:sz w:val="20"/>
          <w:szCs w:val="20"/>
        </w:rPr>
        <w:t xml:space="preserve"> where</w:t>
      </w:r>
      <w:r w:rsidRPr="007364BD">
        <w:rPr>
          <w:rFonts w:ascii="Arial" w:eastAsia="Times New Roman" w:hAnsi="Arial"/>
          <w:color w:val="000000" w:themeColor="text1"/>
          <w:sz w:val="20"/>
          <w:szCs w:val="20"/>
        </w:rPr>
        <w:t xml:space="preserve"> the most common reasons given as to why most investors and non-investors do not participate are complexity, information overload, and risk issues. The social and informational environments are also an issue in the literature. </w:t>
      </w:r>
      <w:proofErr w:type="spellStart"/>
      <w:r w:rsidRPr="007364BD">
        <w:rPr>
          <w:rFonts w:ascii="Arial" w:eastAsia="Times New Roman" w:hAnsi="Arial"/>
          <w:color w:val="000000" w:themeColor="text1"/>
          <w:sz w:val="20"/>
          <w:szCs w:val="20"/>
        </w:rPr>
        <w:t>Yanuarti</w:t>
      </w:r>
      <w:proofErr w:type="spellEnd"/>
      <w:r w:rsidRPr="007364BD">
        <w:rPr>
          <w:rFonts w:ascii="Arial" w:eastAsia="Times New Roman" w:hAnsi="Arial"/>
          <w:color w:val="000000" w:themeColor="text1"/>
          <w:sz w:val="20"/>
          <w:szCs w:val="20"/>
        </w:rPr>
        <w:t xml:space="preserve"> Loebiantoro et al. (2024) demonstrate that social media and family investment behaviour are directly connected with the investment decisions, which means that the rational evaluation is not the only parameter that determines the decision-making process, but the social exposure and peer influence, as well as the information framing, can influence decisions. This is significant to the current research since it implies that behavioural barriers are not independent cognitive failures that are not linked to social learning and digital communication.</w:t>
      </w:r>
      <w:r w:rsidR="00526CFD" w:rsidRPr="007364BD">
        <w:rPr>
          <w:rFonts w:ascii="Arial" w:eastAsia="Times New Roman" w:hAnsi="Arial"/>
          <w:color w:val="000000" w:themeColor="text1"/>
          <w:sz w:val="20"/>
          <w:szCs w:val="20"/>
        </w:rPr>
        <w:t xml:space="preserve"> Behaviourally, fintech and financial literacy act </w:t>
      </w:r>
      <w:r w:rsidR="00526CFD" w:rsidRPr="007364BD">
        <w:rPr>
          <w:rFonts w:ascii="Arial" w:eastAsia="Times New Roman" w:hAnsi="Arial"/>
          <w:color w:val="000000" w:themeColor="text1"/>
          <w:sz w:val="20"/>
          <w:szCs w:val="20"/>
        </w:rPr>
        <w:lastRenderedPageBreak/>
        <w:t xml:space="preserve">through psychological as opposed to rational pathways. </w:t>
      </w:r>
      <w:proofErr w:type="spellStart"/>
      <w:r w:rsidR="00526CFD" w:rsidRPr="007364BD">
        <w:rPr>
          <w:rFonts w:ascii="Arial" w:eastAsia="Times New Roman" w:hAnsi="Arial"/>
          <w:color w:val="000000" w:themeColor="text1"/>
          <w:sz w:val="20"/>
          <w:szCs w:val="20"/>
        </w:rPr>
        <w:t>Adielyani</w:t>
      </w:r>
      <w:proofErr w:type="spellEnd"/>
      <w:r w:rsidR="00526CFD" w:rsidRPr="007364BD">
        <w:rPr>
          <w:rFonts w:ascii="Arial" w:eastAsia="Times New Roman" w:hAnsi="Arial"/>
          <w:color w:val="000000" w:themeColor="text1"/>
          <w:sz w:val="20"/>
          <w:szCs w:val="20"/>
        </w:rPr>
        <w:t xml:space="preserve"> (2025) shows that financial self-control is a mediator between fintech and financial behaviour and </w:t>
      </w:r>
      <w:proofErr w:type="spellStart"/>
      <w:r w:rsidR="00526CFD" w:rsidRPr="007364BD">
        <w:rPr>
          <w:rFonts w:ascii="Arial" w:eastAsia="Times New Roman" w:hAnsi="Arial"/>
          <w:color w:val="000000" w:themeColor="text1"/>
          <w:sz w:val="20"/>
          <w:szCs w:val="20"/>
        </w:rPr>
        <w:t>Goso</w:t>
      </w:r>
      <w:proofErr w:type="spellEnd"/>
      <w:r w:rsidR="00526CFD" w:rsidRPr="007364BD">
        <w:rPr>
          <w:rFonts w:ascii="Arial" w:eastAsia="Times New Roman" w:hAnsi="Arial"/>
          <w:color w:val="000000" w:themeColor="text1"/>
          <w:sz w:val="20"/>
          <w:szCs w:val="20"/>
        </w:rPr>
        <w:t xml:space="preserve"> et al. (2025) also emphasizes the role of confidence, perception, and biases in financial decision-making. This research supports the proposition that financial literacy may not remove barriers to behaviour.</w:t>
      </w:r>
    </w:p>
    <w:p w14:paraId="3312979F" w14:textId="77777777" w:rsidR="00A14608" w:rsidRPr="007364BD" w:rsidRDefault="00000000" w:rsidP="004E1F91">
      <w:pPr>
        <w:pStyle w:val="Heading3"/>
        <w:keepNext w:val="0"/>
        <w:keepLines w:val="0"/>
        <w:spacing w:before="0" w:after="0" w:line="276" w:lineRule="auto"/>
        <w:rPr>
          <w:rFonts w:ascii="Arial" w:eastAsia="Times New Roman" w:hAnsi="Arial"/>
          <w:b/>
          <w:bCs/>
          <w:color w:val="000000" w:themeColor="text1"/>
          <w:sz w:val="20"/>
          <w:szCs w:val="20"/>
        </w:rPr>
      </w:pPr>
      <w:bookmarkStart w:id="6" w:name="_ix5bd6u7088b" w:colFirst="0" w:colLast="0"/>
      <w:bookmarkEnd w:id="6"/>
      <w:r w:rsidRPr="007364BD">
        <w:rPr>
          <w:rFonts w:ascii="Arial" w:eastAsia="Times New Roman" w:hAnsi="Arial"/>
          <w:b/>
          <w:bCs/>
          <w:color w:val="000000" w:themeColor="text1"/>
          <w:sz w:val="20"/>
          <w:szCs w:val="20"/>
        </w:rPr>
        <w:t>FinTech and Investment Apps</w:t>
      </w:r>
    </w:p>
    <w:p w14:paraId="6B4F8022" w14:textId="2ED64642" w:rsidR="00A14608" w:rsidRPr="007364BD" w:rsidRDefault="00000000" w:rsidP="004E1F91">
      <w:pPr>
        <w:spacing w:line="276" w:lineRule="auto"/>
        <w:ind w:firstLine="720"/>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 xml:space="preserve">FinTech applications are becoming more and more learning platforms, in addition to transaction platforms. </w:t>
      </w:r>
      <w:r w:rsidR="00335FEF" w:rsidRPr="007364BD">
        <w:rPr>
          <w:rFonts w:ascii="Arial" w:eastAsia="Times New Roman" w:hAnsi="Arial"/>
          <w:color w:val="000000" w:themeColor="text1"/>
          <w:sz w:val="20"/>
          <w:szCs w:val="20"/>
        </w:rPr>
        <w:t>They reduce entry barriers by making onboarding user-friendly, real-time information, and make learning materials part of the user experience</w:t>
      </w:r>
      <w:r w:rsidR="0082550B" w:rsidRPr="007364BD">
        <w:rPr>
          <w:rFonts w:ascii="Arial" w:eastAsia="Times New Roman" w:hAnsi="Arial"/>
          <w:color w:val="000000" w:themeColor="text1"/>
          <w:sz w:val="20"/>
          <w:szCs w:val="20"/>
        </w:rPr>
        <w:t xml:space="preserve"> (</w:t>
      </w:r>
      <w:proofErr w:type="spellStart"/>
      <w:r w:rsidR="0082550B" w:rsidRPr="007364BD">
        <w:rPr>
          <w:rFonts w:ascii="Arial" w:eastAsia="Times New Roman" w:hAnsi="Arial"/>
          <w:color w:val="000000" w:themeColor="text1"/>
          <w:sz w:val="20"/>
          <w:szCs w:val="20"/>
        </w:rPr>
        <w:t>Albuainain</w:t>
      </w:r>
      <w:proofErr w:type="spellEnd"/>
      <w:r w:rsidR="0082550B" w:rsidRPr="007364BD">
        <w:rPr>
          <w:rFonts w:ascii="Arial" w:eastAsia="Times New Roman" w:hAnsi="Arial"/>
          <w:color w:val="000000" w:themeColor="text1"/>
          <w:sz w:val="20"/>
          <w:szCs w:val="20"/>
        </w:rPr>
        <w:t xml:space="preserve"> &amp; Ashby, 2025)</w:t>
      </w:r>
      <w:r w:rsidR="00335FEF" w:rsidRPr="007364BD">
        <w:rPr>
          <w:rFonts w:ascii="Arial" w:eastAsia="Times New Roman" w:hAnsi="Arial"/>
          <w:color w:val="000000" w:themeColor="text1"/>
          <w:sz w:val="20"/>
          <w:szCs w:val="20"/>
        </w:rPr>
        <w:t>.</w:t>
      </w:r>
      <w:r w:rsidRPr="007364BD">
        <w:rPr>
          <w:rFonts w:ascii="Arial" w:eastAsia="Times New Roman" w:hAnsi="Arial"/>
          <w:color w:val="000000" w:themeColor="text1"/>
          <w:sz w:val="20"/>
          <w:szCs w:val="20"/>
        </w:rPr>
        <w:t xml:space="preserve"> The study presented by </w:t>
      </w:r>
      <w:r w:rsidR="00A86FD0" w:rsidRPr="007364BD">
        <w:rPr>
          <w:rFonts w:ascii="Arial" w:eastAsia="Times New Roman" w:hAnsi="Arial"/>
          <w:color w:val="000000" w:themeColor="text1"/>
          <w:sz w:val="20"/>
          <w:szCs w:val="20"/>
        </w:rPr>
        <w:t>Ye et al. (2022)</w:t>
      </w:r>
      <w:r w:rsidRPr="007364BD">
        <w:rPr>
          <w:rFonts w:ascii="Arial" w:eastAsia="Times New Roman" w:hAnsi="Arial"/>
          <w:color w:val="000000" w:themeColor="text1"/>
          <w:sz w:val="20"/>
          <w:szCs w:val="20"/>
        </w:rPr>
        <w:t xml:space="preserve"> supports the idea that using online finance can enhance the involvement of stock markets by reducing access frictions and enhancing the experience with financial products. This is important to India since investment apps have become one of the most apparent entry-levels for the retail investor</w:t>
      </w:r>
      <w:r w:rsidR="0082550B" w:rsidRPr="007364BD">
        <w:rPr>
          <w:rFonts w:ascii="Arial" w:eastAsia="Times New Roman" w:hAnsi="Arial"/>
          <w:color w:val="000000" w:themeColor="text1"/>
          <w:sz w:val="20"/>
          <w:szCs w:val="20"/>
        </w:rPr>
        <w:t xml:space="preserve"> (Khanna, 2026)</w:t>
      </w:r>
      <w:r w:rsidRPr="007364BD">
        <w:rPr>
          <w:rFonts w:ascii="Arial" w:eastAsia="Times New Roman" w:hAnsi="Arial"/>
          <w:color w:val="000000" w:themeColor="text1"/>
          <w:sz w:val="20"/>
          <w:szCs w:val="20"/>
        </w:rPr>
        <w:t>. When these apps are integrated into execution as well as education, they will possibly fill both ends of the participation issue</w:t>
      </w:r>
      <w:r w:rsidR="00A253EC" w:rsidRPr="007364BD">
        <w:rPr>
          <w:rFonts w:ascii="Arial" w:eastAsia="Times New Roman" w:hAnsi="Arial"/>
          <w:color w:val="000000" w:themeColor="text1"/>
          <w:sz w:val="20"/>
          <w:szCs w:val="20"/>
        </w:rPr>
        <w:t xml:space="preserve"> where</w:t>
      </w:r>
      <w:r w:rsidRPr="007364BD">
        <w:rPr>
          <w:rFonts w:ascii="Arial" w:eastAsia="Times New Roman" w:hAnsi="Arial"/>
          <w:color w:val="000000" w:themeColor="text1"/>
          <w:sz w:val="20"/>
          <w:szCs w:val="20"/>
        </w:rPr>
        <w:t xml:space="preserve"> they not only assist users in comprehending products but also simplify it to take action on that information</w:t>
      </w:r>
      <w:r w:rsidR="00F21AAD" w:rsidRPr="007364BD">
        <w:rPr>
          <w:rFonts w:ascii="Arial" w:eastAsia="Times New Roman" w:hAnsi="Arial"/>
          <w:color w:val="000000" w:themeColor="text1"/>
          <w:sz w:val="20"/>
          <w:szCs w:val="20"/>
        </w:rPr>
        <w:t xml:space="preserve"> (Gupta, 2025)</w:t>
      </w:r>
      <w:r w:rsidRPr="007364BD">
        <w:rPr>
          <w:rFonts w:ascii="Arial" w:eastAsia="Times New Roman" w:hAnsi="Arial"/>
          <w:color w:val="000000" w:themeColor="text1"/>
          <w:sz w:val="20"/>
          <w:szCs w:val="20"/>
        </w:rPr>
        <w:t xml:space="preserve">. The implication is that investment apps could be beyond the commercial platform; it could be an ecosystem of financial literacy. </w:t>
      </w:r>
      <w:r w:rsidR="00526CFD" w:rsidRPr="007364BD">
        <w:rPr>
          <w:rFonts w:ascii="Arial" w:eastAsia="Times New Roman" w:hAnsi="Arial"/>
          <w:color w:val="000000" w:themeColor="text1"/>
          <w:sz w:val="20"/>
          <w:szCs w:val="20"/>
        </w:rPr>
        <w:t xml:space="preserve">The use of fintech in financial systems also enhances financial literacy. Research such as </w:t>
      </w:r>
      <w:proofErr w:type="spellStart"/>
      <w:r w:rsidR="00526CFD" w:rsidRPr="007364BD">
        <w:rPr>
          <w:rFonts w:ascii="Arial" w:eastAsia="Times New Roman" w:hAnsi="Arial"/>
          <w:color w:val="000000" w:themeColor="text1"/>
          <w:sz w:val="20"/>
          <w:szCs w:val="20"/>
        </w:rPr>
        <w:t>Anggraini</w:t>
      </w:r>
      <w:proofErr w:type="spellEnd"/>
      <w:r w:rsidR="00526CFD" w:rsidRPr="007364BD">
        <w:rPr>
          <w:rFonts w:ascii="Arial" w:eastAsia="Times New Roman" w:hAnsi="Arial"/>
          <w:color w:val="000000" w:themeColor="text1"/>
          <w:sz w:val="20"/>
          <w:szCs w:val="20"/>
        </w:rPr>
        <w:t xml:space="preserve"> et al. (2025), which demonstrates the impact of fintech on financial literacy and financial well-being, or Phung &amp; Nguyen (2025), which shows the interaction between fintech use and financial literacy on income, highlight the role of financial literacy in fintech adoption. Moreover, Mohapatra et al. (2025) highlight that financial literacy is essential in adopting fintech for small businesses, further underscoring the symbiotic relationship between technology and literacy. Another factor that facilitates fintech adoption is digital financial literacy. Studies by Pant &amp; Agarwal (2024) and Islam &amp; Khan (2024) suggest digital literacy, financial literacy and self-efficacy play a role in users' adoption of financial technologies. Similarly, Aidil Fadli (2024) finds age-based </w:t>
      </w:r>
      <w:r w:rsidR="00526CFD" w:rsidRPr="007364BD">
        <w:rPr>
          <w:rFonts w:ascii="Arial" w:eastAsia="Times New Roman" w:hAnsi="Arial"/>
          <w:color w:val="000000" w:themeColor="text1"/>
          <w:sz w:val="20"/>
          <w:szCs w:val="20"/>
        </w:rPr>
        <w:t xml:space="preserve">differences in financial literacy, with young people more responsive to financial learning via apps but possibly lacking financial knowledge. More broadly, the studies also highlight the importance of fintech and literacy in promoting financial inclusion. Lye et al. (2025) highlight that fintech is a key element in improving access to under-serviced populations and </w:t>
      </w:r>
      <w:proofErr w:type="spellStart"/>
      <w:r w:rsidR="00526CFD" w:rsidRPr="007364BD">
        <w:rPr>
          <w:rFonts w:ascii="Arial" w:eastAsia="Times New Roman" w:hAnsi="Arial"/>
          <w:color w:val="000000" w:themeColor="text1"/>
          <w:sz w:val="20"/>
          <w:szCs w:val="20"/>
        </w:rPr>
        <w:t>Rohaeni</w:t>
      </w:r>
      <w:proofErr w:type="spellEnd"/>
      <w:r w:rsidR="00526CFD" w:rsidRPr="007364BD">
        <w:rPr>
          <w:rFonts w:ascii="Arial" w:eastAsia="Times New Roman" w:hAnsi="Arial"/>
          <w:color w:val="000000" w:themeColor="text1"/>
          <w:sz w:val="20"/>
          <w:szCs w:val="20"/>
        </w:rPr>
        <w:t xml:space="preserve"> et al. (2026), shows that financial literacy and fintech access improve financial inclusion and business development. In a similar vein, Ha &amp; Nguyen (2024) demonstrate the combined impact of financial literacy and fintech in enhancing financial access in emerging markets, especially in economic crises.</w:t>
      </w:r>
    </w:p>
    <w:p w14:paraId="29954925" w14:textId="77777777" w:rsidR="00526CFD" w:rsidRPr="007364BD" w:rsidRDefault="00526CFD" w:rsidP="004E1F91">
      <w:pPr>
        <w:spacing w:line="276" w:lineRule="auto"/>
        <w:rPr>
          <w:rFonts w:ascii="Arial" w:eastAsia="Times New Roman" w:hAnsi="Arial"/>
          <w:b/>
          <w:bCs/>
          <w:color w:val="000000" w:themeColor="text1"/>
          <w:sz w:val="20"/>
          <w:szCs w:val="20"/>
        </w:rPr>
      </w:pPr>
      <w:r w:rsidRPr="007364BD">
        <w:rPr>
          <w:rFonts w:ascii="Arial" w:eastAsia="Times New Roman" w:hAnsi="Arial"/>
          <w:b/>
          <w:bCs/>
          <w:color w:val="000000" w:themeColor="text1"/>
          <w:sz w:val="20"/>
          <w:szCs w:val="20"/>
        </w:rPr>
        <w:t>Financial Education Initiatives by Investment Apps</w:t>
      </w:r>
    </w:p>
    <w:p w14:paraId="2F6E62A1" w14:textId="4AC161DC" w:rsidR="00526CFD" w:rsidRPr="007364BD" w:rsidRDefault="00526CFD"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Our recent open-access research demonstrates that financial literacy, digital literacy and financial self-efficacy correlate with improved fintech adoption and financial decision-making, while overall financial literacy is still a predictor of stock market investment and economic decision-making. (</w:t>
      </w:r>
      <w:proofErr w:type="spellStart"/>
      <w:r w:rsidRPr="007364BD">
        <w:rPr>
          <w:rFonts w:ascii="Arial" w:eastAsia="Times New Roman" w:hAnsi="Arial"/>
          <w:color w:val="000000" w:themeColor="text1"/>
          <w:sz w:val="20"/>
          <w:szCs w:val="20"/>
        </w:rPr>
        <w:t>Lakoni</w:t>
      </w:r>
      <w:proofErr w:type="spellEnd"/>
      <w:r w:rsidRPr="007364BD">
        <w:rPr>
          <w:rFonts w:ascii="Arial" w:eastAsia="Times New Roman" w:hAnsi="Arial"/>
          <w:color w:val="000000" w:themeColor="text1"/>
          <w:sz w:val="20"/>
          <w:szCs w:val="20"/>
        </w:rPr>
        <w:t xml:space="preserve"> et al., 2023) In real life, the big Indian stock market apps have added education to their services. </w:t>
      </w:r>
      <w:proofErr w:type="spellStart"/>
      <w:r w:rsidRPr="007364BD">
        <w:rPr>
          <w:rFonts w:ascii="Arial" w:eastAsia="Times New Roman" w:hAnsi="Arial"/>
          <w:color w:val="000000" w:themeColor="text1"/>
          <w:sz w:val="20"/>
          <w:szCs w:val="20"/>
        </w:rPr>
        <w:t>Zerodha's</w:t>
      </w:r>
      <w:proofErr w:type="spellEnd"/>
      <w:r w:rsidRPr="007364BD">
        <w:rPr>
          <w:rFonts w:ascii="Arial" w:eastAsia="Times New Roman" w:hAnsi="Arial"/>
          <w:color w:val="000000" w:themeColor="text1"/>
          <w:sz w:val="20"/>
          <w:szCs w:val="20"/>
        </w:rPr>
        <w:t xml:space="preserve"> free Varsity includes organised, open educational modules, videos and live sessions on the fundamentals of the stock market, technical analysis, derivatives and managing risk (</w:t>
      </w:r>
      <w:proofErr w:type="spellStart"/>
      <w:r w:rsidRPr="007364BD">
        <w:rPr>
          <w:rFonts w:ascii="Arial" w:eastAsia="Times New Roman" w:hAnsi="Arial"/>
          <w:color w:val="000000" w:themeColor="text1"/>
          <w:sz w:val="20"/>
          <w:szCs w:val="20"/>
        </w:rPr>
        <w:t>Zerodha</w:t>
      </w:r>
      <w:proofErr w:type="spellEnd"/>
      <w:r w:rsidRPr="007364BD">
        <w:rPr>
          <w:rFonts w:ascii="Arial" w:eastAsia="Times New Roman" w:hAnsi="Arial"/>
          <w:color w:val="000000" w:themeColor="text1"/>
          <w:sz w:val="20"/>
          <w:szCs w:val="20"/>
        </w:rPr>
        <w:t xml:space="preserve">, 2026a; </w:t>
      </w:r>
      <w:proofErr w:type="spellStart"/>
      <w:r w:rsidRPr="007364BD">
        <w:rPr>
          <w:rFonts w:ascii="Arial" w:eastAsia="Times New Roman" w:hAnsi="Arial"/>
          <w:color w:val="000000" w:themeColor="text1"/>
          <w:sz w:val="20"/>
          <w:szCs w:val="20"/>
        </w:rPr>
        <w:t>Zerodha</w:t>
      </w:r>
      <w:proofErr w:type="spellEnd"/>
      <w:r w:rsidRPr="007364BD">
        <w:rPr>
          <w:rFonts w:ascii="Arial" w:eastAsia="Times New Roman" w:hAnsi="Arial"/>
          <w:color w:val="000000" w:themeColor="text1"/>
          <w:sz w:val="20"/>
          <w:szCs w:val="20"/>
        </w:rPr>
        <w:t xml:space="preserve">, 2026b; </w:t>
      </w:r>
      <w:proofErr w:type="spellStart"/>
      <w:r w:rsidRPr="007364BD">
        <w:rPr>
          <w:rFonts w:ascii="Arial" w:eastAsia="Times New Roman" w:hAnsi="Arial"/>
          <w:color w:val="000000" w:themeColor="text1"/>
          <w:sz w:val="20"/>
          <w:szCs w:val="20"/>
        </w:rPr>
        <w:t>Zerodha</w:t>
      </w:r>
      <w:proofErr w:type="spellEnd"/>
      <w:r w:rsidRPr="007364BD">
        <w:rPr>
          <w:rFonts w:ascii="Arial" w:eastAsia="Times New Roman" w:hAnsi="Arial"/>
          <w:color w:val="000000" w:themeColor="text1"/>
          <w:sz w:val="20"/>
          <w:szCs w:val="20"/>
        </w:rPr>
        <w:t xml:space="preserve">, 2026c). </w:t>
      </w:r>
      <w:proofErr w:type="spellStart"/>
      <w:r w:rsidRPr="007364BD">
        <w:rPr>
          <w:rFonts w:ascii="Arial" w:eastAsia="Times New Roman" w:hAnsi="Arial"/>
          <w:color w:val="000000" w:themeColor="text1"/>
          <w:sz w:val="20"/>
          <w:szCs w:val="20"/>
        </w:rPr>
        <w:t>Groww</w:t>
      </w:r>
      <w:proofErr w:type="spellEnd"/>
      <w:r w:rsidRPr="007364BD">
        <w:rPr>
          <w:rFonts w:ascii="Arial" w:eastAsia="Times New Roman" w:hAnsi="Arial"/>
          <w:color w:val="000000" w:themeColor="text1"/>
          <w:sz w:val="20"/>
          <w:szCs w:val="20"/>
        </w:rPr>
        <w:t xml:space="preserve"> offers easy-to-understand articles about investing, basics-of-investing pages, personal-finance explainers, market news digests and quality educational content (</w:t>
      </w:r>
      <w:proofErr w:type="spellStart"/>
      <w:r w:rsidRPr="007364BD">
        <w:rPr>
          <w:rFonts w:ascii="Arial" w:eastAsia="Times New Roman" w:hAnsi="Arial"/>
          <w:color w:val="000000" w:themeColor="text1"/>
          <w:sz w:val="20"/>
          <w:szCs w:val="20"/>
        </w:rPr>
        <w:t>Groww</w:t>
      </w:r>
      <w:proofErr w:type="spellEnd"/>
      <w:r w:rsidRPr="007364BD">
        <w:rPr>
          <w:rFonts w:ascii="Arial" w:eastAsia="Times New Roman" w:hAnsi="Arial"/>
          <w:color w:val="000000" w:themeColor="text1"/>
          <w:sz w:val="20"/>
          <w:szCs w:val="20"/>
        </w:rPr>
        <w:t xml:space="preserve">, 2026a; </w:t>
      </w:r>
      <w:proofErr w:type="spellStart"/>
      <w:r w:rsidRPr="007364BD">
        <w:rPr>
          <w:rFonts w:ascii="Arial" w:eastAsia="Times New Roman" w:hAnsi="Arial"/>
          <w:color w:val="000000" w:themeColor="text1"/>
          <w:sz w:val="20"/>
          <w:szCs w:val="20"/>
        </w:rPr>
        <w:t>Groww</w:t>
      </w:r>
      <w:proofErr w:type="spellEnd"/>
      <w:r w:rsidRPr="007364BD">
        <w:rPr>
          <w:rFonts w:ascii="Arial" w:eastAsia="Times New Roman" w:hAnsi="Arial"/>
          <w:color w:val="000000" w:themeColor="text1"/>
          <w:sz w:val="20"/>
          <w:szCs w:val="20"/>
        </w:rPr>
        <w:t xml:space="preserve">, 2026b; </w:t>
      </w:r>
      <w:proofErr w:type="spellStart"/>
      <w:r w:rsidRPr="007364BD">
        <w:rPr>
          <w:rFonts w:ascii="Arial" w:eastAsia="Times New Roman" w:hAnsi="Arial"/>
          <w:color w:val="000000" w:themeColor="text1"/>
          <w:sz w:val="20"/>
          <w:szCs w:val="20"/>
        </w:rPr>
        <w:t>Groww</w:t>
      </w:r>
      <w:proofErr w:type="spellEnd"/>
      <w:r w:rsidRPr="007364BD">
        <w:rPr>
          <w:rFonts w:ascii="Arial" w:eastAsia="Times New Roman" w:hAnsi="Arial"/>
          <w:color w:val="000000" w:themeColor="text1"/>
          <w:sz w:val="20"/>
          <w:szCs w:val="20"/>
        </w:rPr>
        <w:t xml:space="preserve">, 2026c). </w:t>
      </w:r>
      <w:proofErr w:type="gramStart"/>
      <w:r w:rsidRPr="007364BD">
        <w:rPr>
          <w:rFonts w:ascii="Arial" w:eastAsia="Times New Roman" w:hAnsi="Arial"/>
          <w:color w:val="000000" w:themeColor="text1"/>
          <w:sz w:val="20"/>
          <w:szCs w:val="20"/>
        </w:rPr>
        <w:t>Angel</w:t>
      </w:r>
      <w:proofErr w:type="gramEnd"/>
      <w:r w:rsidRPr="007364BD">
        <w:rPr>
          <w:rFonts w:ascii="Arial" w:eastAsia="Times New Roman" w:hAnsi="Arial"/>
          <w:color w:val="000000" w:themeColor="text1"/>
          <w:sz w:val="20"/>
          <w:szCs w:val="20"/>
        </w:rPr>
        <w:t xml:space="preserve"> One offers beginners a Knowledge </w:t>
      </w:r>
      <w:proofErr w:type="spellStart"/>
      <w:r w:rsidRPr="007364BD">
        <w:rPr>
          <w:rFonts w:ascii="Arial" w:eastAsia="Times New Roman" w:hAnsi="Arial"/>
          <w:color w:val="000000" w:themeColor="text1"/>
          <w:sz w:val="20"/>
          <w:szCs w:val="20"/>
        </w:rPr>
        <w:t>Center</w:t>
      </w:r>
      <w:proofErr w:type="spellEnd"/>
      <w:r w:rsidRPr="007364BD">
        <w:rPr>
          <w:rFonts w:ascii="Arial" w:eastAsia="Times New Roman" w:hAnsi="Arial"/>
          <w:color w:val="000000" w:themeColor="text1"/>
          <w:sz w:val="20"/>
          <w:szCs w:val="20"/>
        </w:rPr>
        <w:t xml:space="preserve">, Smart Money courses and a user manual with step-by-step, written and video explainers (Angel One, 2026a; Angel One, 2026b; Angel One, 2026c). </w:t>
      </w:r>
      <w:proofErr w:type="spellStart"/>
      <w:r w:rsidRPr="007364BD">
        <w:rPr>
          <w:rFonts w:ascii="Arial" w:eastAsia="Times New Roman" w:hAnsi="Arial"/>
          <w:color w:val="000000" w:themeColor="text1"/>
          <w:sz w:val="20"/>
          <w:szCs w:val="20"/>
        </w:rPr>
        <w:t>Upstox</w:t>
      </w:r>
      <w:proofErr w:type="spellEnd"/>
      <w:r w:rsidRPr="007364BD">
        <w:rPr>
          <w:rFonts w:ascii="Arial" w:eastAsia="Times New Roman" w:hAnsi="Arial"/>
          <w:color w:val="000000" w:themeColor="text1"/>
          <w:sz w:val="20"/>
          <w:szCs w:val="20"/>
        </w:rPr>
        <w:t xml:space="preserve"> also offers a Learning </w:t>
      </w:r>
      <w:proofErr w:type="spellStart"/>
      <w:r w:rsidRPr="007364BD">
        <w:rPr>
          <w:rFonts w:ascii="Arial" w:eastAsia="Times New Roman" w:hAnsi="Arial"/>
          <w:color w:val="000000" w:themeColor="text1"/>
          <w:sz w:val="20"/>
          <w:szCs w:val="20"/>
        </w:rPr>
        <w:t>Center</w:t>
      </w:r>
      <w:proofErr w:type="spellEnd"/>
      <w:r w:rsidRPr="007364BD">
        <w:rPr>
          <w:rFonts w:ascii="Arial" w:eastAsia="Times New Roman" w:hAnsi="Arial"/>
          <w:color w:val="000000" w:themeColor="text1"/>
          <w:sz w:val="20"/>
          <w:szCs w:val="20"/>
        </w:rPr>
        <w:t xml:space="preserve">, </w:t>
      </w:r>
      <w:proofErr w:type="spellStart"/>
      <w:r w:rsidRPr="007364BD">
        <w:rPr>
          <w:rFonts w:ascii="Arial" w:eastAsia="Times New Roman" w:hAnsi="Arial"/>
          <w:color w:val="000000" w:themeColor="text1"/>
          <w:sz w:val="20"/>
          <w:szCs w:val="20"/>
        </w:rPr>
        <w:t>Uplearn</w:t>
      </w:r>
      <w:proofErr w:type="spellEnd"/>
      <w:r w:rsidRPr="007364BD">
        <w:rPr>
          <w:rFonts w:ascii="Arial" w:eastAsia="Times New Roman" w:hAnsi="Arial"/>
          <w:color w:val="000000" w:themeColor="text1"/>
          <w:sz w:val="20"/>
          <w:szCs w:val="20"/>
        </w:rPr>
        <w:t xml:space="preserve"> courses, webinars, video explainers and beginner's glossary (</w:t>
      </w:r>
      <w:proofErr w:type="spellStart"/>
      <w:r w:rsidRPr="007364BD">
        <w:rPr>
          <w:rFonts w:ascii="Arial" w:eastAsia="Times New Roman" w:hAnsi="Arial"/>
          <w:color w:val="000000" w:themeColor="text1"/>
          <w:sz w:val="20"/>
          <w:szCs w:val="20"/>
        </w:rPr>
        <w:t>Upstox</w:t>
      </w:r>
      <w:proofErr w:type="spellEnd"/>
      <w:r w:rsidRPr="007364BD">
        <w:rPr>
          <w:rFonts w:ascii="Arial" w:eastAsia="Times New Roman" w:hAnsi="Arial"/>
          <w:color w:val="000000" w:themeColor="text1"/>
          <w:sz w:val="20"/>
          <w:szCs w:val="20"/>
        </w:rPr>
        <w:t>, 2026). Given these, what is apparent is that investment apps are not only a platform for transactions, but also provide an ecosystem for investor education, as is suggested in recent research.</w:t>
      </w:r>
    </w:p>
    <w:p w14:paraId="63F37C3B" w14:textId="77777777" w:rsidR="00A14608" w:rsidRPr="007364BD" w:rsidRDefault="00000000" w:rsidP="004E1F91">
      <w:pPr>
        <w:pStyle w:val="Heading2"/>
        <w:keepNext w:val="0"/>
        <w:keepLines w:val="0"/>
        <w:spacing w:before="0" w:after="0" w:line="276" w:lineRule="auto"/>
        <w:rPr>
          <w:rFonts w:ascii="Arial" w:eastAsia="Times New Roman" w:hAnsi="Arial"/>
          <w:b/>
          <w:bCs/>
          <w:color w:val="000000" w:themeColor="text1"/>
          <w:sz w:val="20"/>
          <w:szCs w:val="20"/>
        </w:rPr>
      </w:pPr>
      <w:bookmarkStart w:id="7" w:name="_rerhtq6two5f" w:colFirst="0" w:colLast="0"/>
      <w:bookmarkEnd w:id="7"/>
      <w:r w:rsidRPr="007364BD">
        <w:rPr>
          <w:rFonts w:ascii="Arial" w:eastAsia="Times New Roman" w:hAnsi="Arial"/>
          <w:b/>
          <w:bCs/>
          <w:color w:val="000000" w:themeColor="text1"/>
          <w:sz w:val="20"/>
          <w:szCs w:val="20"/>
        </w:rPr>
        <w:t>CONTEXT &amp; INDUSTRY INSIGHTS</w:t>
      </w:r>
    </w:p>
    <w:p w14:paraId="0EF1C239" w14:textId="25BF6716" w:rsidR="00A14608" w:rsidRPr="007364BD" w:rsidRDefault="00000000" w:rsidP="004E1F91">
      <w:pPr>
        <w:spacing w:line="276" w:lineRule="auto"/>
        <w:ind w:firstLine="720"/>
        <w:rPr>
          <w:rFonts w:ascii="Arial" w:eastAsia="Times New Roman" w:hAnsi="Arial"/>
          <w:color w:val="000000" w:themeColor="text1"/>
          <w:sz w:val="20"/>
          <w:szCs w:val="20"/>
        </w:rPr>
      </w:pPr>
      <w:r w:rsidRPr="007364BD">
        <w:rPr>
          <w:rFonts w:ascii="Arial" w:eastAsia="Times New Roman" w:hAnsi="Arial"/>
          <w:color w:val="000000" w:themeColor="text1"/>
          <w:sz w:val="20"/>
          <w:szCs w:val="20"/>
        </w:rPr>
        <w:lastRenderedPageBreak/>
        <w:t xml:space="preserve">The policy context of this study is given by the Investor Survey 2025 by SEBI. It states that 74 percent of the respondents point out complexities and information gaps as the key barriers to participation, and 62 percent of the </w:t>
      </w:r>
      <w:r w:rsidR="00335FEF" w:rsidRPr="007364BD">
        <w:rPr>
          <w:rFonts w:ascii="Arial" w:eastAsia="Times New Roman" w:hAnsi="Arial"/>
          <w:color w:val="000000" w:themeColor="text1"/>
          <w:sz w:val="20"/>
          <w:szCs w:val="20"/>
        </w:rPr>
        <w:t>respondent’s</w:t>
      </w:r>
      <w:r w:rsidRPr="007364BD">
        <w:rPr>
          <w:rFonts w:ascii="Arial" w:eastAsia="Times New Roman" w:hAnsi="Arial"/>
          <w:color w:val="000000" w:themeColor="text1"/>
          <w:sz w:val="20"/>
          <w:szCs w:val="20"/>
        </w:rPr>
        <w:t xml:space="preserve"> indicated education and information as the key drivers to investing. This survey also reveals the preference for social media, mobile applications, and TV/digital advertising as a means of educating an investor, with the most </w:t>
      </w:r>
      <w:r w:rsidR="00335FEF" w:rsidRPr="007364BD">
        <w:rPr>
          <w:rFonts w:ascii="Arial" w:eastAsia="Times New Roman" w:hAnsi="Arial"/>
          <w:color w:val="000000" w:themeColor="text1"/>
          <w:sz w:val="20"/>
          <w:szCs w:val="20"/>
        </w:rPr>
        <w:t>favoured</w:t>
      </w:r>
      <w:r w:rsidRPr="007364BD">
        <w:rPr>
          <w:rFonts w:ascii="Arial" w:eastAsia="Times New Roman" w:hAnsi="Arial"/>
          <w:color w:val="000000" w:themeColor="text1"/>
          <w:sz w:val="20"/>
          <w:szCs w:val="20"/>
        </w:rPr>
        <w:t xml:space="preserve"> format being videos, posts on social media, and online courses. The use of Hindi and regional languages is highly </w:t>
      </w:r>
      <w:r w:rsidR="00335FEF" w:rsidRPr="007364BD">
        <w:rPr>
          <w:rFonts w:ascii="Arial" w:eastAsia="Times New Roman" w:hAnsi="Arial"/>
          <w:color w:val="000000" w:themeColor="text1"/>
          <w:sz w:val="20"/>
          <w:szCs w:val="20"/>
        </w:rPr>
        <w:t>favoured</w:t>
      </w:r>
      <w:r w:rsidRPr="007364BD">
        <w:rPr>
          <w:rFonts w:ascii="Arial" w:eastAsia="Times New Roman" w:hAnsi="Arial"/>
          <w:color w:val="000000" w:themeColor="text1"/>
          <w:sz w:val="20"/>
          <w:szCs w:val="20"/>
        </w:rPr>
        <w:t xml:space="preserve"> and thus justifies the simplified and localized financial learning material. Such results render NCR particularly topical, since the area is the most penetrated and can thus provide a valuable context to examine the interaction of knowledge, access, and education.</w:t>
      </w:r>
    </w:p>
    <w:p w14:paraId="11E8F0EC" w14:textId="4B35431A" w:rsidR="00390D7A" w:rsidRPr="007364BD" w:rsidRDefault="00390D7A" w:rsidP="004E1F91">
      <w:pPr>
        <w:spacing w:line="276" w:lineRule="auto"/>
        <w:jc w:val="center"/>
        <w:rPr>
          <w:rFonts w:ascii="Arial" w:eastAsia="Times New Roman" w:hAnsi="Arial"/>
          <w:color w:val="000000" w:themeColor="text1"/>
          <w:sz w:val="20"/>
          <w:szCs w:val="20"/>
        </w:rPr>
      </w:pPr>
      <w:r w:rsidRPr="007364BD">
        <w:rPr>
          <w:rFonts w:ascii="Arial" w:eastAsia="Times New Roman" w:hAnsi="Arial"/>
          <w:noProof/>
          <w:color w:val="000000" w:themeColor="text1"/>
          <w:sz w:val="20"/>
          <w:szCs w:val="20"/>
        </w:rPr>
        <w:drawing>
          <wp:inline distT="0" distB="0" distL="0" distR="0" wp14:anchorId="12E8E1B9" wp14:editId="07D6C3FF">
            <wp:extent cx="2235200" cy="2204085"/>
            <wp:effectExtent l="0" t="0" r="0" b="5715"/>
            <wp:docPr id="19932172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44136" cy="2212897"/>
                    </a:xfrm>
                    <a:prstGeom prst="rect">
                      <a:avLst/>
                    </a:prstGeom>
                    <a:noFill/>
                  </pic:spPr>
                </pic:pic>
              </a:graphicData>
            </a:graphic>
          </wp:inline>
        </w:drawing>
      </w:r>
    </w:p>
    <w:p w14:paraId="3BA0FEF0" w14:textId="16DA3FCB" w:rsidR="00390D7A" w:rsidRPr="007364BD" w:rsidRDefault="00390D7A" w:rsidP="004E1F91">
      <w:pPr>
        <w:spacing w:line="276" w:lineRule="auto"/>
        <w:jc w:val="center"/>
        <w:rPr>
          <w:rFonts w:ascii="Arial" w:eastAsia="Times New Roman" w:hAnsi="Arial"/>
          <w:color w:val="000000" w:themeColor="text1"/>
          <w:sz w:val="20"/>
          <w:szCs w:val="20"/>
        </w:rPr>
      </w:pPr>
      <w:r w:rsidRPr="007364BD">
        <w:rPr>
          <w:rFonts w:ascii="Arial" w:eastAsia="Times New Roman" w:hAnsi="Arial"/>
          <w:b/>
          <w:bCs/>
          <w:color w:val="000000" w:themeColor="text1"/>
          <w:sz w:val="20"/>
          <w:szCs w:val="20"/>
        </w:rPr>
        <w:t>Figure 1: UCC of Active Clients</w:t>
      </w:r>
      <w:r w:rsidRPr="007364BD">
        <w:rPr>
          <w:rFonts w:ascii="Arial" w:eastAsia="Times New Roman" w:hAnsi="Arial"/>
          <w:color w:val="000000" w:themeColor="text1"/>
          <w:sz w:val="20"/>
          <w:szCs w:val="20"/>
        </w:rPr>
        <w:t xml:space="preserve"> </w:t>
      </w:r>
      <w:r w:rsidRPr="007364BD">
        <w:rPr>
          <w:rFonts w:ascii="Arial" w:eastAsia="Times New Roman" w:hAnsi="Arial"/>
          <w:color w:val="000000" w:themeColor="text1"/>
          <w:sz w:val="20"/>
          <w:szCs w:val="20"/>
        </w:rPr>
        <w:br/>
        <w:t>(Source: NSE Survey Data)</w:t>
      </w:r>
    </w:p>
    <w:p w14:paraId="0E7F4538" w14:textId="77777777" w:rsidR="00390D7A" w:rsidRPr="007364BD" w:rsidRDefault="00000000" w:rsidP="004E1F91">
      <w:pPr>
        <w:spacing w:line="276" w:lineRule="auto"/>
        <w:ind w:firstLine="720"/>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 xml:space="preserve">The industry structure is in favour of this argument. The data of active clients in NSE indicate that the market is dominated by a few large platforms: Growth with 21.9% market share, </w:t>
      </w:r>
      <w:proofErr w:type="spellStart"/>
      <w:r w:rsidRPr="007364BD">
        <w:rPr>
          <w:rFonts w:ascii="Arial" w:eastAsia="Times New Roman" w:hAnsi="Arial"/>
          <w:color w:val="000000" w:themeColor="text1"/>
          <w:sz w:val="20"/>
          <w:szCs w:val="20"/>
        </w:rPr>
        <w:t>Zerodha</w:t>
      </w:r>
      <w:proofErr w:type="spellEnd"/>
      <w:r w:rsidRPr="007364BD">
        <w:rPr>
          <w:rFonts w:ascii="Arial" w:eastAsia="Times New Roman" w:hAnsi="Arial"/>
          <w:color w:val="000000" w:themeColor="text1"/>
          <w:sz w:val="20"/>
          <w:szCs w:val="20"/>
        </w:rPr>
        <w:t xml:space="preserve"> with 16.7%, Angel One with 14.0%, and </w:t>
      </w:r>
      <w:proofErr w:type="spellStart"/>
      <w:r w:rsidRPr="007364BD">
        <w:rPr>
          <w:rFonts w:ascii="Arial" w:eastAsia="Times New Roman" w:hAnsi="Arial"/>
          <w:color w:val="000000" w:themeColor="text1"/>
          <w:sz w:val="20"/>
          <w:szCs w:val="20"/>
        </w:rPr>
        <w:t>Upstax</w:t>
      </w:r>
      <w:proofErr w:type="spellEnd"/>
      <w:r w:rsidRPr="007364BD">
        <w:rPr>
          <w:rFonts w:ascii="Arial" w:eastAsia="Times New Roman" w:hAnsi="Arial"/>
          <w:color w:val="000000" w:themeColor="text1"/>
          <w:sz w:val="20"/>
          <w:szCs w:val="20"/>
        </w:rPr>
        <w:t xml:space="preserve"> with 5.8%. The top 10 platforms alone will represent over 73.8% of the cumulative market share, thus suggesting that a fairly small number of apps can have a very large share of active investors. </w:t>
      </w:r>
    </w:p>
    <w:p w14:paraId="654BFB66" w14:textId="0F5D9A62" w:rsidR="00390D7A" w:rsidRPr="007364BD" w:rsidRDefault="00390D7A" w:rsidP="004E1F91">
      <w:pPr>
        <w:spacing w:line="276" w:lineRule="auto"/>
        <w:jc w:val="center"/>
        <w:rPr>
          <w:rFonts w:ascii="Arial" w:eastAsia="Times New Roman" w:hAnsi="Arial"/>
          <w:color w:val="000000" w:themeColor="text1"/>
          <w:sz w:val="20"/>
          <w:szCs w:val="20"/>
        </w:rPr>
      </w:pPr>
      <w:r w:rsidRPr="007364BD">
        <w:rPr>
          <w:rFonts w:ascii="Arial" w:eastAsia="Times New Roman" w:hAnsi="Arial"/>
          <w:noProof/>
          <w:color w:val="000000" w:themeColor="text1"/>
          <w:sz w:val="20"/>
          <w:szCs w:val="20"/>
        </w:rPr>
        <w:drawing>
          <wp:inline distT="0" distB="0" distL="0" distR="0" wp14:anchorId="0C3038E7" wp14:editId="3FD1591F">
            <wp:extent cx="2577465" cy="2514268"/>
            <wp:effectExtent l="0" t="0" r="0" b="635"/>
            <wp:docPr id="10619822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09497" cy="2545515"/>
                    </a:xfrm>
                    <a:prstGeom prst="rect">
                      <a:avLst/>
                    </a:prstGeom>
                    <a:noFill/>
                  </pic:spPr>
                </pic:pic>
              </a:graphicData>
            </a:graphic>
          </wp:inline>
        </w:drawing>
      </w:r>
    </w:p>
    <w:p w14:paraId="2B7BF225" w14:textId="594906C5" w:rsidR="00390D7A" w:rsidRPr="007364BD" w:rsidRDefault="00390D7A" w:rsidP="004E1F91">
      <w:pPr>
        <w:spacing w:line="276" w:lineRule="auto"/>
        <w:jc w:val="center"/>
        <w:rPr>
          <w:rFonts w:ascii="Arial" w:eastAsia="Times New Roman" w:hAnsi="Arial"/>
          <w:color w:val="000000" w:themeColor="text1"/>
          <w:sz w:val="20"/>
          <w:szCs w:val="20"/>
        </w:rPr>
      </w:pPr>
      <w:r w:rsidRPr="007364BD">
        <w:rPr>
          <w:rFonts w:ascii="Arial" w:eastAsia="Times New Roman" w:hAnsi="Arial"/>
          <w:b/>
          <w:bCs/>
          <w:color w:val="000000" w:themeColor="text1"/>
          <w:sz w:val="20"/>
          <w:szCs w:val="20"/>
        </w:rPr>
        <w:t xml:space="preserve">Figure </w:t>
      </w:r>
      <w:r w:rsidR="004919F4" w:rsidRPr="007364BD">
        <w:rPr>
          <w:rFonts w:ascii="Arial" w:eastAsia="Times New Roman" w:hAnsi="Arial"/>
          <w:b/>
          <w:bCs/>
          <w:color w:val="000000" w:themeColor="text1"/>
          <w:sz w:val="20"/>
          <w:szCs w:val="20"/>
        </w:rPr>
        <w:t>2</w:t>
      </w:r>
      <w:r w:rsidRPr="007364BD">
        <w:rPr>
          <w:rFonts w:ascii="Arial" w:eastAsia="Times New Roman" w:hAnsi="Arial"/>
          <w:b/>
          <w:bCs/>
          <w:color w:val="000000" w:themeColor="text1"/>
          <w:sz w:val="20"/>
          <w:szCs w:val="20"/>
        </w:rPr>
        <w:t>: Market Share (%)</w:t>
      </w:r>
      <w:r w:rsidRPr="007364BD">
        <w:rPr>
          <w:rFonts w:ascii="Arial" w:eastAsia="Times New Roman" w:hAnsi="Arial"/>
          <w:color w:val="000000" w:themeColor="text1"/>
          <w:sz w:val="20"/>
          <w:szCs w:val="20"/>
        </w:rPr>
        <w:t xml:space="preserve"> </w:t>
      </w:r>
      <w:r w:rsidRPr="007364BD">
        <w:rPr>
          <w:rFonts w:ascii="Arial" w:eastAsia="Times New Roman" w:hAnsi="Arial"/>
          <w:color w:val="000000" w:themeColor="text1"/>
          <w:sz w:val="20"/>
          <w:szCs w:val="20"/>
        </w:rPr>
        <w:br/>
        <w:t>(Source: NSE Survey Data)</w:t>
      </w:r>
    </w:p>
    <w:p w14:paraId="6BB4AF90" w14:textId="7FE18FCD" w:rsidR="00A14608" w:rsidRPr="007364BD" w:rsidRDefault="00201C9F" w:rsidP="004E1F91">
      <w:pPr>
        <w:spacing w:line="276" w:lineRule="auto"/>
        <w:ind w:firstLine="720"/>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 xml:space="preserve">This is the concentration which is of analytical significance. In case the large platforms include educational applications, explainers, and onboarding to their systems, they will be able to reach a massive segment of the investor base within a few seconds. In fact, these platforms are already moving this direction with educational blogs, video explainers, courses, </w:t>
      </w:r>
      <w:proofErr w:type="spellStart"/>
      <w:r w:rsidRPr="007364BD">
        <w:rPr>
          <w:rFonts w:ascii="Arial" w:eastAsia="Times New Roman" w:hAnsi="Arial"/>
          <w:color w:val="000000" w:themeColor="text1"/>
          <w:sz w:val="20"/>
          <w:szCs w:val="20"/>
        </w:rPr>
        <w:t>WebInars</w:t>
      </w:r>
      <w:proofErr w:type="spellEnd"/>
      <w:r w:rsidRPr="007364BD">
        <w:rPr>
          <w:rFonts w:ascii="Arial" w:eastAsia="Times New Roman" w:hAnsi="Arial"/>
          <w:color w:val="000000" w:themeColor="text1"/>
          <w:sz w:val="20"/>
          <w:szCs w:val="20"/>
        </w:rPr>
        <w:t>, in-app learning sections. The outcome is in a market where investment apps are becoming an infrastructure that provides financial literacy in addition to being a trading intermediary. This is what makes them important to a blue-ocean strategy</w:t>
      </w:r>
      <w:r w:rsidR="00A253EC" w:rsidRPr="007364BD">
        <w:rPr>
          <w:rFonts w:ascii="Arial" w:eastAsia="Times New Roman" w:hAnsi="Arial"/>
          <w:color w:val="000000" w:themeColor="text1"/>
          <w:sz w:val="20"/>
          <w:szCs w:val="20"/>
        </w:rPr>
        <w:t xml:space="preserve"> where</w:t>
      </w:r>
      <w:r w:rsidRPr="007364BD">
        <w:rPr>
          <w:rFonts w:ascii="Arial" w:eastAsia="Times New Roman" w:hAnsi="Arial"/>
          <w:color w:val="000000" w:themeColor="text1"/>
          <w:sz w:val="20"/>
          <w:szCs w:val="20"/>
        </w:rPr>
        <w:t xml:space="preserve"> they will be able to transform the latent demand into participation by alleviating informational and behavioural friction (Guo et al., 2025).</w:t>
      </w:r>
    </w:p>
    <w:p w14:paraId="0DC0239F" w14:textId="77777777" w:rsidR="00A14608" w:rsidRPr="007364BD" w:rsidRDefault="00000000" w:rsidP="004E1F91">
      <w:pPr>
        <w:pStyle w:val="Heading2"/>
        <w:keepNext w:val="0"/>
        <w:keepLines w:val="0"/>
        <w:spacing w:before="0" w:after="0" w:line="276" w:lineRule="auto"/>
        <w:rPr>
          <w:rFonts w:ascii="Arial" w:eastAsia="Times New Roman" w:hAnsi="Arial"/>
          <w:b/>
          <w:bCs/>
          <w:color w:val="000000" w:themeColor="text1"/>
          <w:sz w:val="20"/>
          <w:szCs w:val="20"/>
        </w:rPr>
      </w:pPr>
      <w:bookmarkStart w:id="8" w:name="_je0ep5wt3orl" w:colFirst="0" w:colLast="0"/>
      <w:bookmarkEnd w:id="8"/>
      <w:r w:rsidRPr="007364BD">
        <w:rPr>
          <w:rFonts w:ascii="Arial" w:eastAsia="Times New Roman" w:hAnsi="Arial"/>
          <w:b/>
          <w:bCs/>
          <w:color w:val="000000" w:themeColor="text1"/>
          <w:sz w:val="20"/>
          <w:szCs w:val="20"/>
        </w:rPr>
        <w:t>METHODOLOGY</w:t>
      </w:r>
    </w:p>
    <w:p w14:paraId="1F234B6D" w14:textId="12BC103A" w:rsidR="00A14608" w:rsidRPr="007364BD" w:rsidRDefault="00000000" w:rsidP="004E1F91">
      <w:pPr>
        <w:spacing w:line="276" w:lineRule="auto"/>
        <w:ind w:firstLine="720"/>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 xml:space="preserve">The research is a quantitative, cross-sectional study that uses the support of financial education, platforms, and behavioural barriers to determine the influence of these factors on investor participation. The analysis will be based on two sections of the SEBI Investor Survey 2025, namely the intermediary data and the respondent data, which are narrowed down to NCR. The combination of the two sets of data enables the study to contrast institutional perceptions of the investor behaviour with the responses of the investors on their part, which enhances the interpretive effect of the results. The questions of the survey are multi-response </w:t>
      </w:r>
      <w:r w:rsidRPr="007364BD">
        <w:rPr>
          <w:rFonts w:ascii="Arial" w:eastAsia="Times New Roman" w:hAnsi="Arial"/>
          <w:color w:val="000000" w:themeColor="text1"/>
          <w:sz w:val="20"/>
          <w:szCs w:val="20"/>
        </w:rPr>
        <w:lastRenderedPageBreak/>
        <w:t>(MRQs); thus, the answers were converted to binary variables, with 1 as the selection of an option and 0 as non-selection</w:t>
      </w:r>
      <w:r w:rsidR="006A3D0A" w:rsidRPr="007364BD">
        <w:rPr>
          <w:rFonts w:ascii="Arial" w:eastAsia="Times New Roman" w:hAnsi="Arial"/>
          <w:color w:val="000000" w:themeColor="text1"/>
          <w:sz w:val="20"/>
          <w:szCs w:val="20"/>
        </w:rPr>
        <w:t xml:space="preserve"> (</w:t>
      </w:r>
      <w:proofErr w:type="spellStart"/>
      <w:r w:rsidR="006A3D0A" w:rsidRPr="007364BD">
        <w:rPr>
          <w:rFonts w:ascii="Arial" w:eastAsia="Times New Roman" w:hAnsi="Arial"/>
          <w:color w:val="000000" w:themeColor="text1"/>
          <w:sz w:val="20"/>
          <w:szCs w:val="20"/>
        </w:rPr>
        <w:t>Dudziński</w:t>
      </w:r>
      <w:proofErr w:type="spellEnd"/>
      <w:r w:rsidR="006A3D0A" w:rsidRPr="007364BD">
        <w:rPr>
          <w:rFonts w:ascii="Arial" w:eastAsia="Times New Roman" w:hAnsi="Arial"/>
          <w:color w:val="000000" w:themeColor="text1"/>
          <w:sz w:val="20"/>
          <w:szCs w:val="20"/>
        </w:rPr>
        <w:t xml:space="preserve"> et al., 2025)</w:t>
      </w:r>
      <w:r w:rsidRPr="007364BD">
        <w:rPr>
          <w:rFonts w:ascii="Arial" w:eastAsia="Times New Roman" w:hAnsi="Arial"/>
          <w:color w:val="000000" w:themeColor="text1"/>
          <w:sz w:val="20"/>
          <w:szCs w:val="20"/>
        </w:rPr>
        <w:t>. This method of coding is suitable since the questionnaire indicates reasons, barriers, triggers, and support needs, and not scale-based attitudes. The study thus considers each block of questions to be a set of choices in the broader construct, say motivation, barriers, and education needs, or account-support requirements.</w:t>
      </w:r>
    </w:p>
    <w:p w14:paraId="28116513" w14:textId="1D17E672" w:rsidR="00A14608" w:rsidRPr="007364BD" w:rsidRDefault="00000000" w:rsidP="004E1F91">
      <w:pPr>
        <w:spacing w:line="276" w:lineRule="auto"/>
        <w:ind w:firstLine="720"/>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The analysis will be carried out in four phases. In the first place, descriptive frequency analysis determines the most popular motivations, obstacles, facilitators, and support requirements. Second, the variation of these patterns in the main demographic characteristics, like income, is investigated with the help of the cross-tabulation. Third, a test of the grouped variables as underlying dimensions is done using exploratory factor analysis (EFA)</w:t>
      </w:r>
      <w:r w:rsidR="006A3D0A" w:rsidRPr="007364BD">
        <w:rPr>
          <w:rFonts w:ascii="Arial" w:eastAsia="Times New Roman" w:hAnsi="Arial"/>
          <w:color w:val="000000" w:themeColor="text1"/>
          <w:sz w:val="20"/>
          <w:szCs w:val="20"/>
        </w:rPr>
        <w:t xml:space="preserve"> (Tang et al., 2024; Yang et al., 2025)</w:t>
      </w:r>
      <w:r w:rsidRPr="007364BD">
        <w:rPr>
          <w:rFonts w:ascii="Arial" w:eastAsia="Times New Roman" w:hAnsi="Arial"/>
          <w:color w:val="000000" w:themeColor="text1"/>
          <w:sz w:val="20"/>
          <w:szCs w:val="20"/>
        </w:rPr>
        <w:t>. The EFA outcomes indicate that the data is appropriate to perform the factor analysis with the Kaiser-Meyer-Olkin at 0.638, significant, and the Bartlett test is significant (p &lt; .001)</w:t>
      </w:r>
      <w:r w:rsidR="006A3D0A" w:rsidRPr="007364BD">
        <w:rPr>
          <w:rFonts w:ascii="Arial" w:eastAsia="Times New Roman" w:hAnsi="Arial"/>
          <w:color w:val="000000" w:themeColor="text1"/>
          <w:sz w:val="20"/>
          <w:szCs w:val="20"/>
        </w:rPr>
        <w:t xml:space="preserve"> (</w:t>
      </w:r>
      <w:proofErr w:type="spellStart"/>
      <w:r w:rsidR="006A3D0A" w:rsidRPr="007364BD">
        <w:rPr>
          <w:rFonts w:ascii="Arial" w:eastAsia="Times New Roman" w:hAnsi="Arial"/>
          <w:color w:val="000000" w:themeColor="text1"/>
          <w:sz w:val="20"/>
          <w:szCs w:val="20"/>
        </w:rPr>
        <w:t>Alzaben</w:t>
      </w:r>
      <w:proofErr w:type="spellEnd"/>
      <w:r w:rsidR="006A3D0A" w:rsidRPr="007364BD">
        <w:rPr>
          <w:rFonts w:ascii="Arial" w:eastAsia="Times New Roman" w:hAnsi="Arial"/>
          <w:color w:val="000000" w:themeColor="text1"/>
          <w:sz w:val="20"/>
          <w:szCs w:val="20"/>
        </w:rPr>
        <w:t xml:space="preserve"> et al., 2024)</w:t>
      </w:r>
      <w:r w:rsidRPr="007364BD">
        <w:rPr>
          <w:rFonts w:ascii="Arial" w:eastAsia="Times New Roman" w:hAnsi="Arial"/>
          <w:color w:val="000000" w:themeColor="text1"/>
          <w:sz w:val="20"/>
          <w:szCs w:val="20"/>
        </w:rPr>
        <w:t>. A three-factor structure is established with the probabilities of the elements being stable, and the resultant component matrix is used to justify the next round of analysis with conceptually meaningful groupings.</w:t>
      </w:r>
    </w:p>
    <w:p w14:paraId="3E5F4087" w14:textId="736675BD" w:rsidR="00A14608" w:rsidRPr="007364BD" w:rsidRDefault="00000000" w:rsidP="004E1F91">
      <w:pPr>
        <w:spacing w:line="276" w:lineRule="auto"/>
        <w:ind w:firstLine="720"/>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 xml:space="preserve">Lastly, the relationships between education, support services, awareness, and </w:t>
      </w:r>
      <w:r w:rsidRPr="007364BD">
        <w:rPr>
          <w:rFonts w:ascii="Arial" w:eastAsia="Times New Roman" w:hAnsi="Arial"/>
          <w:color w:val="000000" w:themeColor="text1"/>
          <w:sz w:val="20"/>
          <w:szCs w:val="20"/>
        </w:rPr>
        <w:t xml:space="preserve">behavioural concerns are tested by using Partial Least Squares Structural Equation </w:t>
      </w:r>
      <w:proofErr w:type="spellStart"/>
      <w:r w:rsidRPr="007364BD">
        <w:rPr>
          <w:rFonts w:ascii="Arial" w:eastAsia="Times New Roman" w:hAnsi="Arial"/>
          <w:color w:val="000000" w:themeColor="text1"/>
          <w:sz w:val="20"/>
          <w:szCs w:val="20"/>
        </w:rPr>
        <w:t>Modeling</w:t>
      </w:r>
      <w:proofErr w:type="spellEnd"/>
      <w:r w:rsidRPr="007364BD">
        <w:rPr>
          <w:rFonts w:ascii="Arial" w:eastAsia="Times New Roman" w:hAnsi="Arial"/>
          <w:color w:val="000000" w:themeColor="text1"/>
          <w:sz w:val="20"/>
          <w:szCs w:val="20"/>
        </w:rPr>
        <w:t xml:space="preserve"> (PLS-SEM)</w:t>
      </w:r>
      <w:r w:rsidR="005D3437" w:rsidRPr="007364BD">
        <w:rPr>
          <w:rFonts w:ascii="Arial" w:eastAsia="Times New Roman" w:hAnsi="Arial"/>
          <w:color w:val="000000" w:themeColor="text1"/>
          <w:sz w:val="20"/>
          <w:szCs w:val="20"/>
        </w:rPr>
        <w:t xml:space="preserve"> (Pereira et al., 2024; Romo et al., 2024)</w:t>
      </w:r>
      <w:r w:rsidRPr="007364BD">
        <w:rPr>
          <w:rFonts w:ascii="Arial" w:eastAsia="Times New Roman" w:hAnsi="Arial"/>
          <w:color w:val="000000" w:themeColor="text1"/>
          <w:sz w:val="20"/>
          <w:szCs w:val="20"/>
        </w:rPr>
        <w:t>. This technique is appropriate, as the research is prediction-based and grouped constructs based on items of the survey that are binary-coded. The PLS-SEM framework further enables the research to determine the level of explanatory power based on R</w:t>
      </w:r>
      <w:r w:rsidRPr="007364BD">
        <w:rPr>
          <w:rFonts w:ascii="Arial" w:eastAsia="Times New Roman" w:hAnsi="Arial"/>
          <w:color w:val="000000" w:themeColor="text1"/>
          <w:sz w:val="20"/>
          <w:szCs w:val="20"/>
          <w:vertAlign w:val="superscript"/>
        </w:rPr>
        <w:t>2</w:t>
      </w:r>
      <w:r w:rsidRPr="007364BD">
        <w:rPr>
          <w:rFonts w:ascii="Arial" w:eastAsia="Times New Roman" w:hAnsi="Arial"/>
          <w:color w:val="000000" w:themeColor="text1"/>
          <w:sz w:val="20"/>
          <w:szCs w:val="20"/>
        </w:rPr>
        <w:t xml:space="preserve"> and also to determine the strength of structural pathways amongst the constructs</w:t>
      </w:r>
      <w:r w:rsidR="005D3437" w:rsidRPr="007364BD">
        <w:rPr>
          <w:rFonts w:ascii="Arial" w:eastAsia="Times New Roman" w:hAnsi="Arial"/>
          <w:color w:val="000000" w:themeColor="text1"/>
          <w:sz w:val="20"/>
          <w:szCs w:val="20"/>
        </w:rPr>
        <w:t xml:space="preserve"> (Rosak-</w:t>
      </w:r>
      <w:proofErr w:type="spellStart"/>
      <w:r w:rsidR="005D3437" w:rsidRPr="007364BD">
        <w:rPr>
          <w:rFonts w:ascii="Arial" w:eastAsia="Times New Roman" w:hAnsi="Arial"/>
          <w:color w:val="000000" w:themeColor="text1"/>
          <w:sz w:val="20"/>
          <w:szCs w:val="20"/>
        </w:rPr>
        <w:t>Szyrocka</w:t>
      </w:r>
      <w:proofErr w:type="spellEnd"/>
      <w:r w:rsidR="005D3437" w:rsidRPr="007364BD">
        <w:rPr>
          <w:rFonts w:ascii="Arial" w:eastAsia="Times New Roman" w:hAnsi="Arial"/>
          <w:color w:val="000000" w:themeColor="text1"/>
          <w:sz w:val="20"/>
          <w:szCs w:val="20"/>
        </w:rPr>
        <w:t xml:space="preserve"> &amp; Tiwari, 2023; Radić et al., 2025)</w:t>
      </w:r>
      <w:r w:rsidRPr="007364BD">
        <w:rPr>
          <w:rFonts w:ascii="Arial" w:eastAsia="Times New Roman" w:hAnsi="Arial"/>
          <w:color w:val="000000" w:themeColor="text1"/>
          <w:sz w:val="20"/>
          <w:szCs w:val="20"/>
        </w:rPr>
        <w:t xml:space="preserve">. Similar to recent works that use </w:t>
      </w:r>
      <w:proofErr w:type="spellStart"/>
      <w:r w:rsidRPr="007364BD">
        <w:rPr>
          <w:rFonts w:ascii="Arial" w:eastAsia="Times New Roman" w:hAnsi="Arial"/>
          <w:color w:val="000000" w:themeColor="text1"/>
          <w:sz w:val="20"/>
          <w:szCs w:val="20"/>
        </w:rPr>
        <w:t>SmartPLS</w:t>
      </w:r>
      <w:proofErr w:type="spellEnd"/>
      <w:r w:rsidRPr="007364BD">
        <w:rPr>
          <w:rFonts w:ascii="Arial" w:eastAsia="Times New Roman" w:hAnsi="Arial"/>
          <w:color w:val="000000" w:themeColor="text1"/>
          <w:sz w:val="20"/>
          <w:szCs w:val="20"/>
        </w:rPr>
        <w:t xml:space="preserve"> to investigate financial literacy and investment decision studies, the method offers a stringent means to test the effects of education and online assistance in enabling participation in the market (</w:t>
      </w:r>
      <w:proofErr w:type="spellStart"/>
      <w:r w:rsidRPr="007364BD">
        <w:rPr>
          <w:rFonts w:ascii="Arial" w:eastAsia="Times New Roman" w:hAnsi="Arial"/>
          <w:color w:val="000000" w:themeColor="text1"/>
          <w:sz w:val="20"/>
          <w:szCs w:val="20"/>
        </w:rPr>
        <w:t>Yanuarti</w:t>
      </w:r>
      <w:proofErr w:type="spellEnd"/>
      <w:r w:rsidRPr="007364BD">
        <w:rPr>
          <w:rFonts w:ascii="Arial" w:eastAsia="Times New Roman" w:hAnsi="Arial"/>
          <w:color w:val="000000" w:themeColor="text1"/>
          <w:sz w:val="20"/>
          <w:szCs w:val="20"/>
        </w:rPr>
        <w:t xml:space="preserve"> Loebiantoro et al., 2024).</w:t>
      </w:r>
    </w:p>
    <w:p w14:paraId="673B3E7A" w14:textId="77777777" w:rsidR="00A14608" w:rsidRPr="007364BD" w:rsidRDefault="00000000" w:rsidP="004E1F91">
      <w:pPr>
        <w:pStyle w:val="Heading1"/>
        <w:keepNext w:val="0"/>
        <w:keepLines w:val="0"/>
        <w:spacing w:before="0" w:after="0" w:line="276" w:lineRule="auto"/>
        <w:rPr>
          <w:rFonts w:ascii="Arial" w:eastAsia="Times New Roman" w:hAnsi="Arial"/>
          <w:b/>
          <w:bCs/>
          <w:color w:val="000000" w:themeColor="text1"/>
          <w:sz w:val="20"/>
          <w:szCs w:val="20"/>
        </w:rPr>
      </w:pPr>
      <w:bookmarkStart w:id="9" w:name="_i0dk8odlvt9q" w:colFirst="0" w:colLast="0"/>
      <w:bookmarkEnd w:id="9"/>
      <w:r w:rsidRPr="007364BD">
        <w:rPr>
          <w:rFonts w:ascii="Arial" w:eastAsia="Times New Roman" w:hAnsi="Arial"/>
          <w:b/>
          <w:bCs/>
          <w:color w:val="000000" w:themeColor="text1"/>
          <w:sz w:val="20"/>
          <w:szCs w:val="20"/>
        </w:rPr>
        <w:t xml:space="preserve">DATA ANALYSIS &amp; RESULTS </w:t>
      </w:r>
    </w:p>
    <w:p w14:paraId="66D8BA71" w14:textId="77777777" w:rsidR="00A14608" w:rsidRPr="007364BD" w:rsidRDefault="00000000" w:rsidP="004E1F91">
      <w:pPr>
        <w:pStyle w:val="Heading2"/>
        <w:keepNext w:val="0"/>
        <w:keepLines w:val="0"/>
        <w:spacing w:before="0" w:after="0" w:line="276" w:lineRule="auto"/>
        <w:rPr>
          <w:rFonts w:ascii="Arial" w:eastAsia="Times New Roman" w:hAnsi="Arial"/>
          <w:b/>
          <w:bCs/>
          <w:color w:val="000000" w:themeColor="text1"/>
          <w:sz w:val="20"/>
          <w:szCs w:val="20"/>
        </w:rPr>
      </w:pPr>
      <w:bookmarkStart w:id="10" w:name="_tzqgi46x78xb" w:colFirst="0" w:colLast="0"/>
      <w:bookmarkEnd w:id="10"/>
      <w:r w:rsidRPr="007364BD">
        <w:rPr>
          <w:rFonts w:ascii="Arial" w:eastAsia="Times New Roman" w:hAnsi="Arial"/>
          <w:b/>
          <w:bCs/>
          <w:color w:val="000000" w:themeColor="text1"/>
          <w:sz w:val="20"/>
          <w:szCs w:val="20"/>
        </w:rPr>
        <w:t xml:space="preserve">Descriptive Findings </w:t>
      </w:r>
    </w:p>
    <w:p w14:paraId="23755F03" w14:textId="29212869" w:rsidR="00A14608" w:rsidRPr="007364BD" w:rsidRDefault="00000000" w:rsidP="004E1F91">
      <w:pPr>
        <w:spacing w:line="276" w:lineRule="auto"/>
        <w:ind w:firstLine="720"/>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 xml:space="preserve">The descriptive analysis indicates that there is an evident disequilibrium between the motivation of investors and barriers. </w:t>
      </w:r>
      <w:r w:rsidR="00335FEF" w:rsidRPr="007364BD">
        <w:rPr>
          <w:rFonts w:ascii="Arial" w:eastAsia="Times New Roman" w:hAnsi="Arial"/>
          <w:color w:val="000000" w:themeColor="text1"/>
          <w:sz w:val="20"/>
          <w:szCs w:val="20"/>
        </w:rPr>
        <w:t>The findings of the respondent dataset reveal that motivational drivers (SS_BB1) are exceptionally weak across the categories and most of the options have less than 1% positive responses.</w:t>
      </w:r>
      <w:r w:rsidRPr="007364BD">
        <w:rPr>
          <w:rFonts w:ascii="Arial" w:eastAsia="Times New Roman" w:hAnsi="Arial"/>
          <w:color w:val="000000" w:themeColor="text1"/>
          <w:sz w:val="20"/>
          <w:szCs w:val="20"/>
        </w:rPr>
        <w:t xml:space="preserve"> </w:t>
      </w:r>
      <w:r w:rsidR="00201C9F" w:rsidRPr="007364BD">
        <w:rPr>
          <w:rFonts w:ascii="Arial" w:eastAsia="Times New Roman" w:hAnsi="Arial"/>
          <w:color w:val="000000" w:themeColor="text1"/>
          <w:sz w:val="20"/>
          <w:szCs w:val="20"/>
        </w:rPr>
        <w:t>This is a sign that inherent or perceived benefits such as higher returns, diversification or long-term growth is not enough to create action among prospective investors.</w:t>
      </w:r>
    </w:p>
    <w:p w14:paraId="316CF0B2" w14:textId="77777777" w:rsidR="007364BD" w:rsidRPr="007364BD" w:rsidRDefault="007364BD" w:rsidP="004E1F91">
      <w:pPr>
        <w:spacing w:line="276" w:lineRule="auto"/>
        <w:rPr>
          <w:rFonts w:ascii="Arial" w:eastAsia="Times New Roman" w:hAnsi="Arial"/>
          <w:b/>
          <w:bCs/>
          <w:color w:val="000000" w:themeColor="text1"/>
          <w:sz w:val="20"/>
          <w:szCs w:val="20"/>
        </w:rPr>
        <w:sectPr w:rsidR="007364BD" w:rsidRPr="007364BD" w:rsidSect="007364BD">
          <w:footerReference w:type="default" r:id="rId9"/>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pgNumType w:start="1"/>
          <w:cols w:num="2" w:space="720"/>
          <w:docGrid w:linePitch="326"/>
        </w:sectPr>
      </w:pPr>
    </w:p>
    <w:p w14:paraId="68CAC763" w14:textId="77777777" w:rsidR="00A14608" w:rsidRPr="007364BD" w:rsidRDefault="00000000" w:rsidP="004E1F91">
      <w:pPr>
        <w:spacing w:line="276" w:lineRule="auto"/>
        <w:rPr>
          <w:rFonts w:ascii="Arial" w:eastAsia="Times New Roman" w:hAnsi="Arial"/>
          <w:b/>
          <w:bCs/>
          <w:color w:val="000000" w:themeColor="text1"/>
          <w:sz w:val="20"/>
          <w:szCs w:val="20"/>
        </w:rPr>
      </w:pPr>
      <w:r w:rsidRPr="007364BD">
        <w:rPr>
          <w:rFonts w:ascii="Arial" w:eastAsia="Times New Roman" w:hAnsi="Arial"/>
          <w:b/>
          <w:bCs/>
          <w:color w:val="000000" w:themeColor="text1"/>
          <w:sz w:val="20"/>
          <w:szCs w:val="20"/>
        </w:rPr>
        <w:t>SS_BB2: Barriers</w:t>
      </w:r>
    </w:p>
    <w:tbl>
      <w:tblPr>
        <w:tblStyle w:val="Table1"/>
        <w:tblW w:w="5000" w:type="pct"/>
        <w:tblInd w:w="0" w:type="dxa"/>
        <w:tblBorders>
          <w:top w:val="nil"/>
          <w:left w:val="nil"/>
          <w:bottom w:val="nil"/>
          <w:right w:val="nil"/>
          <w:insideH w:val="nil"/>
          <w:insideV w:val="nil"/>
        </w:tblBorders>
        <w:tblLook w:val="0600" w:firstRow="0" w:lastRow="0" w:firstColumn="0" w:lastColumn="0" w:noHBand="1" w:noVBand="1"/>
      </w:tblPr>
      <w:tblGrid>
        <w:gridCol w:w="7278"/>
        <w:gridCol w:w="2072"/>
      </w:tblGrid>
      <w:tr w:rsidR="00A14608" w:rsidRPr="007364BD" w14:paraId="65C38422" w14:textId="77777777" w:rsidTr="00A253EC">
        <w:trPr>
          <w:trHeight w:val="500"/>
        </w:trPr>
        <w:tc>
          <w:tcPr>
            <w:tcW w:w="3892"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64FFDE0" w14:textId="77777777" w:rsidR="00A14608" w:rsidRPr="007364BD" w:rsidRDefault="00000000" w:rsidP="004E1F91">
            <w:pPr>
              <w:spacing w:line="276" w:lineRule="auto"/>
              <w:jc w:val="center"/>
              <w:rPr>
                <w:rFonts w:ascii="Arial" w:eastAsia="Times New Roman" w:hAnsi="Arial"/>
                <w:color w:val="000000" w:themeColor="text1"/>
                <w:sz w:val="20"/>
                <w:szCs w:val="20"/>
              </w:rPr>
            </w:pPr>
            <w:r w:rsidRPr="007364BD">
              <w:rPr>
                <w:rFonts w:ascii="Arial" w:eastAsia="Times New Roman" w:hAnsi="Arial"/>
                <w:b/>
                <w:bCs/>
                <w:color w:val="000000" w:themeColor="text1"/>
                <w:sz w:val="20"/>
                <w:szCs w:val="20"/>
              </w:rPr>
              <w:t>Option</w:t>
            </w:r>
          </w:p>
        </w:tc>
        <w:tc>
          <w:tcPr>
            <w:tcW w:w="1108"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5CB5D36" w14:textId="77777777" w:rsidR="00A14608" w:rsidRPr="007364BD" w:rsidRDefault="00000000" w:rsidP="004E1F91">
            <w:pPr>
              <w:spacing w:line="276" w:lineRule="auto"/>
              <w:jc w:val="center"/>
              <w:rPr>
                <w:rFonts w:ascii="Arial" w:eastAsia="Times New Roman" w:hAnsi="Arial"/>
                <w:color w:val="000000" w:themeColor="text1"/>
                <w:sz w:val="20"/>
                <w:szCs w:val="20"/>
              </w:rPr>
            </w:pPr>
            <w:r w:rsidRPr="007364BD">
              <w:rPr>
                <w:rFonts w:ascii="Arial" w:eastAsia="Times New Roman" w:hAnsi="Arial"/>
                <w:b/>
                <w:bCs/>
                <w:color w:val="000000" w:themeColor="text1"/>
                <w:sz w:val="20"/>
                <w:szCs w:val="20"/>
              </w:rPr>
              <w:t>Yes (%)</w:t>
            </w:r>
          </w:p>
        </w:tc>
      </w:tr>
      <w:tr w:rsidR="00A14608" w:rsidRPr="007364BD" w14:paraId="0FFB24E2" w14:textId="77777777" w:rsidTr="00A253EC">
        <w:trPr>
          <w:trHeight w:val="500"/>
        </w:trPr>
        <w:tc>
          <w:tcPr>
            <w:tcW w:w="3892"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8B0E9F1"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Lack of knowledge</w:t>
            </w:r>
          </w:p>
        </w:tc>
        <w:tc>
          <w:tcPr>
            <w:tcW w:w="1108"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60B7101"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4.2%</w:t>
            </w:r>
          </w:p>
        </w:tc>
      </w:tr>
      <w:tr w:rsidR="00A14608" w:rsidRPr="007364BD" w14:paraId="2C741DB1" w14:textId="77777777" w:rsidTr="00A253EC">
        <w:trPr>
          <w:trHeight w:val="500"/>
        </w:trPr>
        <w:tc>
          <w:tcPr>
            <w:tcW w:w="3892"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0C2ACB2"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Don’t know how to start</w:t>
            </w:r>
          </w:p>
        </w:tc>
        <w:tc>
          <w:tcPr>
            <w:tcW w:w="1108"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7680427"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3.8%</w:t>
            </w:r>
          </w:p>
        </w:tc>
      </w:tr>
      <w:tr w:rsidR="00A14608" w:rsidRPr="007364BD" w14:paraId="6FB2C348" w14:textId="77777777" w:rsidTr="00A253EC">
        <w:trPr>
          <w:trHeight w:val="500"/>
        </w:trPr>
        <w:tc>
          <w:tcPr>
            <w:tcW w:w="3892"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DA3DAC0"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Information overload</w:t>
            </w:r>
          </w:p>
        </w:tc>
        <w:tc>
          <w:tcPr>
            <w:tcW w:w="1108"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20BF495"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3.3%</w:t>
            </w:r>
          </w:p>
        </w:tc>
      </w:tr>
      <w:tr w:rsidR="00A14608" w:rsidRPr="007364BD" w14:paraId="61B56D71" w14:textId="77777777" w:rsidTr="00A253EC">
        <w:trPr>
          <w:trHeight w:val="500"/>
        </w:trPr>
        <w:tc>
          <w:tcPr>
            <w:tcW w:w="3892"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7FA821D"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Fear of losing money</w:t>
            </w:r>
          </w:p>
        </w:tc>
        <w:tc>
          <w:tcPr>
            <w:tcW w:w="1108"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05E6E2D"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4.5%</w:t>
            </w:r>
          </w:p>
        </w:tc>
      </w:tr>
      <w:tr w:rsidR="00A14608" w:rsidRPr="007364BD" w14:paraId="661999ED" w14:textId="77777777" w:rsidTr="00A253EC">
        <w:trPr>
          <w:trHeight w:val="500"/>
        </w:trPr>
        <w:tc>
          <w:tcPr>
            <w:tcW w:w="3892"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83471A1"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lastRenderedPageBreak/>
              <w:t>Uncertainty about returns</w:t>
            </w:r>
          </w:p>
        </w:tc>
        <w:tc>
          <w:tcPr>
            <w:tcW w:w="1108"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EF7DE57"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2.7%</w:t>
            </w:r>
          </w:p>
        </w:tc>
      </w:tr>
      <w:tr w:rsidR="00A14608" w:rsidRPr="007364BD" w14:paraId="3E98E783" w14:textId="77777777" w:rsidTr="00A253EC">
        <w:trPr>
          <w:trHeight w:val="500"/>
        </w:trPr>
        <w:tc>
          <w:tcPr>
            <w:tcW w:w="3892"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F330FA1"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Lack of trust</w:t>
            </w:r>
          </w:p>
        </w:tc>
        <w:tc>
          <w:tcPr>
            <w:tcW w:w="1108"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4EBA153"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4.0%</w:t>
            </w:r>
          </w:p>
        </w:tc>
      </w:tr>
      <w:tr w:rsidR="00A14608" w:rsidRPr="007364BD" w14:paraId="6D59868F" w14:textId="77777777" w:rsidTr="00A253EC">
        <w:trPr>
          <w:trHeight w:val="500"/>
        </w:trPr>
        <w:tc>
          <w:tcPr>
            <w:tcW w:w="3892"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AF657D2"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High initial investment requirement</w:t>
            </w:r>
          </w:p>
        </w:tc>
        <w:tc>
          <w:tcPr>
            <w:tcW w:w="1108"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793D4DA"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3.7%</w:t>
            </w:r>
          </w:p>
        </w:tc>
      </w:tr>
      <w:tr w:rsidR="00A14608" w:rsidRPr="007364BD" w14:paraId="5D9379F4" w14:textId="77777777" w:rsidTr="00A253EC">
        <w:trPr>
          <w:trHeight w:val="500"/>
        </w:trPr>
        <w:tc>
          <w:tcPr>
            <w:tcW w:w="3892"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E8C1436"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Lack of money</w:t>
            </w:r>
          </w:p>
        </w:tc>
        <w:tc>
          <w:tcPr>
            <w:tcW w:w="1108"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EF0239F"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1.7%</w:t>
            </w:r>
          </w:p>
        </w:tc>
      </w:tr>
      <w:tr w:rsidR="00A14608" w:rsidRPr="007364BD" w14:paraId="1F89CC8C" w14:textId="77777777" w:rsidTr="00A253EC">
        <w:trPr>
          <w:trHeight w:val="500"/>
        </w:trPr>
        <w:tc>
          <w:tcPr>
            <w:tcW w:w="3892"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DBA74C1"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Long-term nature</w:t>
            </w:r>
          </w:p>
        </w:tc>
        <w:tc>
          <w:tcPr>
            <w:tcW w:w="1108"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51E1EA0"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3.0%</w:t>
            </w:r>
          </w:p>
        </w:tc>
      </w:tr>
      <w:tr w:rsidR="00A14608" w:rsidRPr="007364BD" w14:paraId="07EFF19B" w14:textId="77777777" w:rsidTr="00A253EC">
        <w:trPr>
          <w:trHeight w:val="500"/>
        </w:trPr>
        <w:tc>
          <w:tcPr>
            <w:tcW w:w="3892"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478EA69"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Too many options</w:t>
            </w:r>
          </w:p>
        </w:tc>
        <w:tc>
          <w:tcPr>
            <w:tcW w:w="1108"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DC55F90"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2.5%</w:t>
            </w:r>
          </w:p>
        </w:tc>
      </w:tr>
      <w:tr w:rsidR="00A14608" w:rsidRPr="007364BD" w14:paraId="1D324A95" w14:textId="77777777" w:rsidTr="00A253EC">
        <w:trPr>
          <w:trHeight w:val="500"/>
        </w:trPr>
        <w:tc>
          <w:tcPr>
            <w:tcW w:w="3892"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B147611"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Better alternatives</w:t>
            </w:r>
          </w:p>
        </w:tc>
        <w:tc>
          <w:tcPr>
            <w:tcW w:w="1108"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B022AD6"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2.5%</w:t>
            </w:r>
          </w:p>
        </w:tc>
      </w:tr>
      <w:tr w:rsidR="00A14608" w:rsidRPr="007364BD" w14:paraId="027D99C4" w14:textId="77777777" w:rsidTr="00A253EC">
        <w:trPr>
          <w:trHeight w:val="500"/>
        </w:trPr>
        <w:tc>
          <w:tcPr>
            <w:tcW w:w="3892"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D63ECE7"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High fees</w:t>
            </w:r>
          </w:p>
        </w:tc>
        <w:tc>
          <w:tcPr>
            <w:tcW w:w="1108"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D842B4A"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2.1%</w:t>
            </w:r>
          </w:p>
        </w:tc>
      </w:tr>
      <w:tr w:rsidR="00A14608" w:rsidRPr="007364BD" w14:paraId="449D0E47" w14:textId="77777777" w:rsidTr="00A253EC">
        <w:trPr>
          <w:trHeight w:val="500"/>
        </w:trPr>
        <w:tc>
          <w:tcPr>
            <w:tcW w:w="3892"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780ACA0"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Regulatory concerns</w:t>
            </w:r>
          </w:p>
        </w:tc>
        <w:tc>
          <w:tcPr>
            <w:tcW w:w="1108"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E6B475A"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4.4%</w:t>
            </w:r>
          </w:p>
        </w:tc>
      </w:tr>
      <w:tr w:rsidR="00A14608" w:rsidRPr="007364BD" w14:paraId="2FC0672B" w14:textId="77777777" w:rsidTr="00A253EC">
        <w:trPr>
          <w:trHeight w:val="500"/>
        </w:trPr>
        <w:tc>
          <w:tcPr>
            <w:tcW w:w="3892"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83997AD"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Lack of time</w:t>
            </w:r>
          </w:p>
        </w:tc>
        <w:tc>
          <w:tcPr>
            <w:tcW w:w="1108"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47CB88A"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1.0%</w:t>
            </w:r>
          </w:p>
        </w:tc>
      </w:tr>
      <w:tr w:rsidR="00A14608" w:rsidRPr="007364BD" w14:paraId="12C2B6EF" w14:textId="77777777" w:rsidTr="00A253EC">
        <w:trPr>
          <w:trHeight w:val="500"/>
        </w:trPr>
        <w:tc>
          <w:tcPr>
            <w:tcW w:w="3892"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34298B8"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Delay in receiving money</w:t>
            </w:r>
          </w:p>
        </w:tc>
        <w:tc>
          <w:tcPr>
            <w:tcW w:w="1108"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CE971E2"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1.5%</w:t>
            </w:r>
          </w:p>
        </w:tc>
      </w:tr>
      <w:tr w:rsidR="00A14608" w:rsidRPr="007364BD" w14:paraId="522CC2D3" w14:textId="77777777" w:rsidTr="00A253EC">
        <w:trPr>
          <w:trHeight w:val="500"/>
        </w:trPr>
        <w:tc>
          <w:tcPr>
            <w:tcW w:w="3892"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2F0B269"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Too many documents</w:t>
            </w:r>
          </w:p>
        </w:tc>
        <w:tc>
          <w:tcPr>
            <w:tcW w:w="1108"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6F939D6"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0.9%</w:t>
            </w:r>
          </w:p>
        </w:tc>
      </w:tr>
      <w:tr w:rsidR="00A14608" w:rsidRPr="007364BD" w14:paraId="088AF32E" w14:textId="77777777" w:rsidTr="00A253EC">
        <w:trPr>
          <w:trHeight w:val="500"/>
        </w:trPr>
        <w:tc>
          <w:tcPr>
            <w:tcW w:w="3892"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A3AEAB4"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Advised not to invest</w:t>
            </w:r>
          </w:p>
        </w:tc>
        <w:tc>
          <w:tcPr>
            <w:tcW w:w="1108"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14AAAE5"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0.7%</w:t>
            </w:r>
          </w:p>
        </w:tc>
      </w:tr>
      <w:tr w:rsidR="00A14608" w:rsidRPr="007364BD" w14:paraId="561BCD62" w14:textId="77777777" w:rsidTr="00A253EC">
        <w:trPr>
          <w:trHeight w:val="500"/>
        </w:trPr>
        <w:tc>
          <w:tcPr>
            <w:tcW w:w="3892"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59FD2F9"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No local language platform</w:t>
            </w:r>
          </w:p>
        </w:tc>
        <w:tc>
          <w:tcPr>
            <w:tcW w:w="1108"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F6D7B30"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0.2%</w:t>
            </w:r>
          </w:p>
        </w:tc>
      </w:tr>
      <w:tr w:rsidR="00A14608" w:rsidRPr="007364BD" w14:paraId="30550E7A" w14:textId="77777777" w:rsidTr="00A253EC">
        <w:trPr>
          <w:trHeight w:val="500"/>
        </w:trPr>
        <w:tc>
          <w:tcPr>
            <w:tcW w:w="3892"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3A306A4"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Other</w:t>
            </w:r>
          </w:p>
        </w:tc>
        <w:tc>
          <w:tcPr>
            <w:tcW w:w="1108"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042737C"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0.0%</w:t>
            </w:r>
          </w:p>
        </w:tc>
      </w:tr>
    </w:tbl>
    <w:p w14:paraId="4A191B29" w14:textId="77777777" w:rsidR="00A14608" w:rsidRPr="007364BD" w:rsidRDefault="00A14608" w:rsidP="004E1F91">
      <w:pPr>
        <w:spacing w:line="276" w:lineRule="auto"/>
        <w:rPr>
          <w:rFonts w:ascii="Arial" w:eastAsia="Times New Roman" w:hAnsi="Arial"/>
          <w:color w:val="000000" w:themeColor="text1"/>
          <w:sz w:val="20"/>
          <w:szCs w:val="20"/>
        </w:rPr>
      </w:pPr>
    </w:p>
    <w:p w14:paraId="3B5ABD66" w14:textId="77777777" w:rsidR="007364BD" w:rsidRPr="007364BD" w:rsidRDefault="007364BD" w:rsidP="004E1F91">
      <w:pPr>
        <w:spacing w:line="276" w:lineRule="auto"/>
        <w:ind w:firstLine="720"/>
        <w:rPr>
          <w:rFonts w:ascii="Arial" w:eastAsia="Times New Roman" w:hAnsi="Arial"/>
          <w:color w:val="000000" w:themeColor="text1"/>
          <w:sz w:val="20"/>
          <w:szCs w:val="20"/>
        </w:rPr>
        <w:sectPr w:rsidR="007364BD" w:rsidRPr="007364BD" w:rsidSect="007364BD">
          <w:type w:val="continuous"/>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pgNumType w:start="1"/>
          <w:cols w:space="720"/>
          <w:docGrid w:linePitch="326"/>
        </w:sectPr>
      </w:pPr>
    </w:p>
    <w:p w14:paraId="3FFB9DD8" w14:textId="77777777" w:rsidR="00201C9F" w:rsidRPr="007364BD" w:rsidRDefault="00201C9F" w:rsidP="004E1F91">
      <w:pPr>
        <w:spacing w:line="276" w:lineRule="auto"/>
        <w:ind w:firstLine="720"/>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 xml:space="preserve">On the other hand, the barriers to participation frequency (SS_BB2) are comparably greater particularly in the aspects of lack of knowledge, fear of financial loss, lack of trust and regulatory issues. These findings support the fact that the most significant are informational and psychological deterrents as </w:t>
      </w:r>
      <w:r w:rsidRPr="007364BD">
        <w:rPr>
          <w:rFonts w:ascii="Arial" w:eastAsia="Times New Roman" w:hAnsi="Arial"/>
          <w:color w:val="000000" w:themeColor="text1"/>
          <w:sz w:val="20"/>
          <w:szCs w:val="20"/>
        </w:rPr>
        <w:t xml:space="preserve">opposed to structural ones. Such aspects as time or documentation needs are not as significant as cognitive and behavioural limitations. The deeper the enabler variables (SS_BB3) give an insight. The responses indicate that simplified processes, user-friendly platforms, and financial education enhancement are some of the most desirable </w:t>
      </w:r>
      <w:r w:rsidRPr="007364BD">
        <w:rPr>
          <w:rFonts w:ascii="Arial" w:eastAsia="Times New Roman" w:hAnsi="Arial"/>
          <w:color w:val="000000" w:themeColor="text1"/>
          <w:sz w:val="20"/>
          <w:szCs w:val="20"/>
        </w:rPr>
        <w:lastRenderedPageBreak/>
        <w:t>conditions that can trigger the participation. Surprisingly, the reaction to enhanced education on stock investment and easy and simple investment process has comparatively more positive reaction than the other enabling factors.</w:t>
      </w:r>
    </w:p>
    <w:p w14:paraId="35F91DEE" w14:textId="32E32F67" w:rsidR="00A14608" w:rsidRPr="007364BD" w:rsidRDefault="00201C9F" w:rsidP="004E1F91">
      <w:pPr>
        <w:spacing w:line="276" w:lineRule="auto"/>
        <w:ind w:firstLine="720"/>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 xml:space="preserve">These results are informed by information on the halfway data (Q13-Q16). Reports of numerous intermediaries indicate that investors need help with KYC processes (64.3%), account management (57.9%), and online onboarding (56.4%), meaning that the basic concept of the operations is not the same. Moreover, the risk perceptions that remain are </w:t>
      </w:r>
      <w:r w:rsidRPr="007364BD">
        <w:rPr>
          <w:rFonts w:ascii="Arial" w:eastAsia="Times New Roman" w:hAnsi="Arial"/>
          <w:color w:val="000000" w:themeColor="text1"/>
          <w:sz w:val="20"/>
          <w:szCs w:val="20"/>
        </w:rPr>
        <w:t xml:space="preserve">highlighted by some of the problems that are associated with exit, including market volatility (65.9%), and financial losses (over 50%). On the whole, the descriptive statistics vividly show that the number of barriers prevails, and motivation is low and requires specific financial education and support systems (Baveja &amp; Verma, 2024; </w:t>
      </w:r>
      <w:proofErr w:type="spellStart"/>
      <w:r w:rsidRPr="007364BD">
        <w:rPr>
          <w:rFonts w:ascii="Arial" w:eastAsia="Times New Roman" w:hAnsi="Arial"/>
          <w:color w:val="000000" w:themeColor="text1"/>
          <w:sz w:val="20"/>
          <w:szCs w:val="20"/>
        </w:rPr>
        <w:t>Lakoni</w:t>
      </w:r>
      <w:proofErr w:type="spellEnd"/>
      <w:r w:rsidRPr="007364BD">
        <w:rPr>
          <w:rFonts w:ascii="Arial" w:eastAsia="Times New Roman" w:hAnsi="Arial"/>
          <w:color w:val="000000" w:themeColor="text1"/>
          <w:sz w:val="20"/>
          <w:szCs w:val="20"/>
        </w:rPr>
        <w:t xml:space="preserve"> et al., 2023).</w:t>
      </w:r>
    </w:p>
    <w:p w14:paraId="30FE135F" w14:textId="77777777" w:rsidR="00A14608" w:rsidRPr="007364BD" w:rsidRDefault="00000000" w:rsidP="004E1F91">
      <w:pPr>
        <w:pStyle w:val="Heading2"/>
        <w:keepNext w:val="0"/>
        <w:keepLines w:val="0"/>
        <w:spacing w:before="0" w:after="0" w:line="276" w:lineRule="auto"/>
        <w:rPr>
          <w:rFonts w:ascii="Arial" w:eastAsia="Times New Roman" w:hAnsi="Arial"/>
          <w:b/>
          <w:bCs/>
          <w:color w:val="000000" w:themeColor="text1"/>
          <w:sz w:val="20"/>
          <w:szCs w:val="20"/>
        </w:rPr>
      </w:pPr>
      <w:bookmarkStart w:id="11" w:name="_b93o66e7uaur" w:colFirst="0" w:colLast="0"/>
      <w:bookmarkEnd w:id="11"/>
      <w:r w:rsidRPr="007364BD">
        <w:rPr>
          <w:rFonts w:ascii="Arial" w:eastAsia="Times New Roman" w:hAnsi="Arial"/>
          <w:b/>
          <w:bCs/>
          <w:color w:val="000000" w:themeColor="text1"/>
          <w:sz w:val="20"/>
          <w:szCs w:val="20"/>
        </w:rPr>
        <w:t xml:space="preserve">Cross-Tabulation Analysis </w:t>
      </w:r>
    </w:p>
    <w:p w14:paraId="1E39EA2C" w14:textId="77777777" w:rsidR="00A14608" w:rsidRPr="007364BD" w:rsidRDefault="00000000" w:rsidP="004E1F91">
      <w:pPr>
        <w:spacing w:line="276" w:lineRule="auto"/>
        <w:ind w:firstLine="720"/>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 xml:space="preserve">The cross-tabulation analysis was done to </w:t>
      </w:r>
      <w:proofErr w:type="spellStart"/>
      <w:r w:rsidRPr="007364BD">
        <w:rPr>
          <w:rFonts w:ascii="Arial" w:eastAsia="Times New Roman" w:hAnsi="Arial"/>
          <w:color w:val="000000" w:themeColor="text1"/>
          <w:sz w:val="20"/>
          <w:szCs w:val="20"/>
        </w:rPr>
        <w:t>analyze</w:t>
      </w:r>
      <w:proofErr w:type="spellEnd"/>
      <w:r w:rsidRPr="007364BD">
        <w:rPr>
          <w:rFonts w:ascii="Arial" w:eastAsia="Times New Roman" w:hAnsi="Arial"/>
          <w:color w:val="000000" w:themeColor="text1"/>
          <w:sz w:val="20"/>
          <w:szCs w:val="20"/>
        </w:rPr>
        <w:t xml:space="preserve"> the relationship between the level of income and the important constructs, especially the motivation and barriers. </w:t>
      </w:r>
    </w:p>
    <w:p w14:paraId="2320B8A4" w14:textId="77777777" w:rsidR="007364BD" w:rsidRPr="007364BD" w:rsidRDefault="007364BD" w:rsidP="004E1F91">
      <w:pPr>
        <w:spacing w:line="276" w:lineRule="auto"/>
        <w:rPr>
          <w:rFonts w:ascii="Arial" w:eastAsia="Times New Roman" w:hAnsi="Arial"/>
          <w:b/>
          <w:bCs/>
          <w:color w:val="000000" w:themeColor="text1"/>
          <w:sz w:val="20"/>
          <w:szCs w:val="20"/>
        </w:rPr>
        <w:sectPr w:rsidR="007364BD" w:rsidRPr="007364BD" w:rsidSect="007364BD">
          <w:type w:val="continuous"/>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pgNumType w:start="1"/>
          <w:cols w:num="2" w:space="720"/>
          <w:docGrid w:linePitch="326"/>
        </w:sectPr>
      </w:pPr>
    </w:p>
    <w:p w14:paraId="2ED9587A" w14:textId="77777777" w:rsidR="00A14608" w:rsidRPr="007364BD" w:rsidRDefault="00000000" w:rsidP="004E1F91">
      <w:pPr>
        <w:spacing w:line="276" w:lineRule="auto"/>
        <w:rPr>
          <w:rFonts w:ascii="Arial" w:eastAsia="Times New Roman" w:hAnsi="Arial"/>
          <w:b/>
          <w:bCs/>
          <w:color w:val="000000" w:themeColor="text1"/>
          <w:sz w:val="20"/>
          <w:szCs w:val="20"/>
        </w:rPr>
      </w:pPr>
      <w:r w:rsidRPr="007364BD">
        <w:rPr>
          <w:rFonts w:ascii="Arial" w:eastAsia="Times New Roman" w:hAnsi="Arial"/>
          <w:b/>
          <w:bCs/>
          <w:color w:val="000000" w:themeColor="text1"/>
          <w:sz w:val="20"/>
          <w:szCs w:val="20"/>
        </w:rPr>
        <w:t>Association of Income with Motivation</w:t>
      </w:r>
    </w:p>
    <w:tbl>
      <w:tblPr>
        <w:tblStyle w:val="Table2"/>
        <w:tblW w:w="5000" w:type="pct"/>
        <w:tblInd w:w="0" w:type="dxa"/>
        <w:tblBorders>
          <w:top w:val="nil"/>
          <w:left w:val="nil"/>
          <w:bottom w:val="nil"/>
          <w:right w:val="nil"/>
          <w:insideH w:val="nil"/>
          <w:insideV w:val="nil"/>
        </w:tblBorders>
        <w:tblLook w:val="0600" w:firstRow="0" w:lastRow="0" w:firstColumn="0" w:lastColumn="0" w:noHBand="1" w:noVBand="1"/>
      </w:tblPr>
      <w:tblGrid>
        <w:gridCol w:w="4550"/>
        <w:gridCol w:w="4800"/>
      </w:tblGrid>
      <w:tr w:rsidR="00A14608" w:rsidRPr="007364BD" w14:paraId="4A03FCB6" w14:textId="77777777" w:rsidTr="00A253EC">
        <w:trPr>
          <w:trHeight w:val="500"/>
        </w:trPr>
        <w:tc>
          <w:tcPr>
            <w:tcW w:w="2433"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3240687" w14:textId="77777777" w:rsidR="00A14608" w:rsidRPr="007364BD" w:rsidRDefault="00000000" w:rsidP="004E1F91">
            <w:pPr>
              <w:spacing w:line="276" w:lineRule="auto"/>
              <w:jc w:val="center"/>
              <w:rPr>
                <w:rFonts w:ascii="Arial" w:eastAsia="Times New Roman" w:hAnsi="Arial"/>
                <w:color w:val="000000" w:themeColor="text1"/>
                <w:sz w:val="20"/>
                <w:szCs w:val="20"/>
              </w:rPr>
            </w:pPr>
            <w:r w:rsidRPr="007364BD">
              <w:rPr>
                <w:rFonts w:ascii="Arial" w:eastAsia="Times New Roman" w:hAnsi="Arial"/>
                <w:b/>
                <w:bCs/>
                <w:color w:val="000000" w:themeColor="text1"/>
                <w:sz w:val="20"/>
                <w:szCs w:val="20"/>
              </w:rPr>
              <w:t>Income Group</w:t>
            </w:r>
          </w:p>
        </w:tc>
        <w:tc>
          <w:tcPr>
            <w:tcW w:w="2567"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81B4A72" w14:textId="77777777" w:rsidR="00A14608" w:rsidRPr="007364BD" w:rsidRDefault="00000000" w:rsidP="004E1F91">
            <w:pPr>
              <w:spacing w:line="276" w:lineRule="auto"/>
              <w:jc w:val="center"/>
              <w:rPr>
                <w:rFonts w:ascii="Arial" w:eastAsia="Times New Roman" w:hAnsi="Arial"/>
                <w:color w:val="000000" w:themeColor="text1"/>
                <w:sz w:val="20"/>
                <w:szCs w:val="20"/>
              </w:rPr>
            </w:pPr>
            <w:r w:rsidRPr="007364BD">
              <w:rPr>
                <w:rFonts w:ascii="Arial" w:eastAsia="Times New Roman" w:hAnsi="Arial"/>
                <w:b/>
                <w:bCs/>
                <w:color w:val="000000" w:themeColor="text1"/>
                <w:sz w:val="20"/>
                <w:szCs w:val="20"/>
              </w:rPr>
              <w:t>Motivation (%)</w:t>
            </w:r>
          </w:p>
        </w:tc>
      </w:tr>
      <w:tr w:rsidR="00A14608" w:rsidRPr="007364BD" w14:paraId="2F7A395E" w14:textId="77777777" w:rsidTr="00A253EC">
        <w:trPr>
          <w:trHeight w:val="500"/>
        </w:trPr>
        <w:tc>
          <w:tcPr>
            <w:tcW w:w="2433"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602B15B"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Do not disclose</w:t>
            </w:r>
          </w:p>
        </w:tc>
        <w:tc>
          <w:tcPr>
            <w:tcW w:w="2567"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5A9E5E"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1.2%</w:t>
            </w:r>
          </w:p>
        </w:tc>
      </w:tr>
      <w:tr w:rsidR="00A14608" w:rsidRPr="007364BD" w14:paraId="288DCB55" w14:textId="77777777" w:rsidTr="00A253EC">
        <w:trPr>
          <w:trHeight w:val="500"/>
        </w:trPr>
        <w:tc>
          <w:tcPr>
            <w:tcW w:w="2433"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EF78DFC"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No income</w:t>
            </w:r>
          </w:p>
        </w:tc>
        <w:tc>
          <w:tcPr>
            <w:tcW w:w="2567"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A0EE5AB"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2.0%</w:t>
            </w:r>
          </w:p>
        </w:tc>
      </w:tr>
      <w:tr w:rsidR="00A14608" w:rsidRPr="007364BD" w14:paraId="3E5183E4" w14:textId="77777777" w:rsidTr="00A253EC">
        <w:trPr>
          <w:trHeight w:val="500"/>
        </w:trPr>
        <w:tc>
          <w:tcPr>
            <w:tcW w:w="2433"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2BE393E"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₹5k–10k</w:t>
            </w:r>
          </w:p>
        </w:tc>
        <w:tc>
          <w:tcPr>
            <w:tcW w:w="2567"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6A6F6A9"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0.9%</w:t>
            </w:r>
          </w:p>
        </w:tc>
      </w:tr>
      <w:tr w:rsidR="00A14608" w:rsidRPr="007364BD" w14:paraId="11C91FE7" w14:textId="77777777" w:rsidTr="00A253EC">
        <w:trPr>
          <w:trHeight w:val="500"/>
        </w:trPr>
        <w:tc>
          <w:tcPr>
            <w:tcW w:w="2433"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83D9B24"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₹10k–15k</w:t>
            </w:r>
          </w:p>
        </w:tc>
        <w:tc>
          <w:tcPr>
            <w:tcW w:w="2567"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E75A1B3"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1.8%</w:t>
            </w:r>
          </w:p>
        </w:tc>
      </w:tr>
      <w:tr w:rsidR="00A14608" w:rsidRPr="007364BD" w14:paraId="0B24D1F9" w14:textId="77777777" w:rsidTr="00A253EC">
        <w:trPr>
          <w:trHeight w:val="500"/>
        </w:trPr>
        <w:tc>
          <w:tcPr>
            <w:tcW w:w="2433"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BD9AC85"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₹15k–20k</w:t>
            </w:r>
          </w:p>
        </w:tc>
        <w:tc>
          <w:tcPr>
            <w:tcW w:w="2567"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8BC4EB9"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2.3%</w:t>
            </w:r>
          </w:p>
        </w:tc>
      </w:tr>
      <w:tr w:rsidR="00A14608" w:rsidRPr="007364BD" w14:paraId="110AAA63" w14:textId="77777777" w:rsidTr="00A253EC">
        <w:trPr>
          <w:trHeight w:val="500"/>
        </w:trPr>
        <w:tc>
          <w:tcPr>
            <w:tcW w:w="2433"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E97EADE"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₹20k–30k</w:t>
            </w:r>
          </w:p>
        </w:tc>
        <w:tc>
          <w:tcPr>
            <w:tcW w:w="2567"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519FCF9"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3.9%</w:t>
            </w:r>
          </w:p>
        </w:tc>
      </w:tr>
      <w:tr w:rsidR="00A14608" w:rsidRPr="007364BD" w14:paraId="4E0C5AD8" w14:textId="77777777" w:rsidTr="00A253EC">
        <w:trPr>
          <w:trHeight w:val="500"/>
        </w:trPr>
        <w:tc>
          <w:tcPr>
            <w:tcW w:w="2433"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13747D8"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₹30k–40k</w:t>
            </w:r>
          </w:p>
        </w:tc>
        <w:tc>
          <w:tcPr>
            <w:tcW w:w="2567"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0CC05EF"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4.0%</w:t>
            </w:r>
          </w:p>
        </w:tc>
      </w:tr>
      <w:tr w:rsidR="00A14608" w:rsidRPr="007364BD" w14:paraId="5D953D1B" w14:textId="77777777" w:rsidTr="00A253EC">
        <w:trPr>
          <w:trHeight w:val="500"/>
        </w:trPr>
        <w:tc>
          <w:tcPr>
            <w:tcW w:w="2433"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B05F313"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₹40k–50k</w:t>
            </w:r>
          </w:p>
        </w:tc>
        <w:tc>
          <w:tcPr>
            <w:tcW w:w="2567"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E4AFB3E"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3.9%</w:t>
            </w:r>
          </w:p>
        </w:tc>
      </w:tr>
      <w:tr w:rsidR="00A14608" w:rsidRPr="007364BD" w14:paraId="11567833" w14:textId="77777777" w:rsidTr="00A253EC">
        <w:trPr>
          <w:trHeight w:val="500"/>
        </w:trPr>
        <w:tc>
          <w:tcPr>
            <w:tcW w:w="2433"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1562EDE"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₹50k–60k</w:t>
            </w:r>
          </w:p>
        </w:tc>
        <w:tc>
          <w:tcPr>
            <w:tcW w:w="2567"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250D05E"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6.8%</w:t>
            </w:r>
          </w:p>
        </w:tc>
      </w:tr>
      <w:tr w:rsidR="00A14608" w:rsidRPr="007364BD" w14:paraId="4361CE74" w14:textId="77777777" w:rsidTr="00A253EC">
        <w:trPr>
          <w:trHeight w:val="500"/>
        </w:trPr>
        <w:tc>
          <w:tcPr>
            <w:tcW w:w="2433"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D4DEC08"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₹80k–1L</w:t>
            </w:r>
          </w:p>
        </w:tc>
        <w:tc>
          <w:tcPr>
            <w:tcW w:w="2567"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164CEE3"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5.4%</w:t>
            </w:r>
          </w:p>
        </w:tc>
      </w:tr>
    </w:tbl>
    <w:p w14:paraId="3958231A" w14:textId="77777777" w:rsidR="007364BD" w:rsidRPr="007364BD" w:rsidRDefault="007364BD" w:rsidP="004E1F91">
      <w:pPr>
        <w:spacing w:line="276" w:lineRule="auto"/>
        <w:ind w:firstLine="720"/>
        <w:rPr>
          <w:rFonts w:ascii="Arial" w:eastAsia="Times New Roman" w:hAnsi="Arial"/>
          <w:color w:val="000000" w:themeColor="text1"/>
          <w:sz w:val="20"/>
          <w:szCs w:val="20"/>
        </w:rPr>
        <w:sectPr w:rsidR="007364BD" w:rsidRPr="007364BD" w:rsidSect="007364BD">
          <w:type w:val="continuous"/>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pgNumType w:start="1"/>
          <w:cols w:space="720"/>
          <w:docGrid w:linePitch="326"/>
        </w:sectPr>
      </w:pPr>
    </w:p>
    <w:p w14:paraId="1A3A18E0" w14:textId="1B36D003" w:rsidR="00A14608" w:rsidRPr="007364BD" w:rsidRDefault="00000000" w:rsidP="004E1F91">
      <w:pPr>
        <w:spacing w:line="276" w:lineRule="auto"/>
        <w:ind w:firstLine="720"/>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 xml:space="preserve">The findings indicate that there is a low level of investment motivation that does not depend on the income levels, except for a low variation. Even in the higher-income groups, the </w:t>
      </w:r>
      <w:r w:rsidRPr="007364BD">
        <w:rPr>
          <w:rFonts w:ascii="Arial" w:eastAsia="Times New Roman" w:hAnsi="Arial"/>
          <w:color w:val="000000" w:themeColor="text1"/>
          <w:sz w:val="20"/>
          <w:szCs w:val="20"/>
        </w:rPr>
        <w:t xml:space="preserve">percentage of respondents who report motivational drivers is less than meaningful levels. </w:t>
      </w:r>
      <w:r w:rsidR="00335FEF" w:rsidRPr="007364BD">
        <w:rPr>
          <w:rFonts w:ascii="Arial" w:eastAsia="Times New Roman" w:hAnsi="Arial"/>
          <w:color w:val="000000" w:themeColor="text1"/>
          <w:sz w:val="20"/>
          <w:szCs w:val="20"/>
        </w:rPr>
        <w:t xml:space="preserve">This means that one may not necessarily invest because of financial capacity, and it further </w:t>
      </w:r>
      <w:r w:rsidR="00335FEF" w:rsidRPr="007364BD">
        <w:rPr>
          <w:rFonts w:ascii="Arial" w:eastAsia="Times New Roman" w:hAnsi="Arial"/>
          <w:color w:val="000000" w:themeColor="text1"/>
          <w:sz w:val="20"/>
          <w:szCs w:val="20"/>
        </w:rPr>
        <w:lastRenderedPageBreak/>
        <w:t>reinforces the notion that behavioural and informational factors are more important.</w:t>
      </w:r>
    </w:p>
    <w:p w14:paraId="054766C7" w14:textId="77777777" w:rsidR="007364BD" w:rsidRPr="007364BD" w:rsidRDefault="007364BD" w:rsidP="004E1F91">
      <w:pPr>
        <w:spacing w:line="276" w:lineRule="auto"/>
        <w:rPr>
          <w:rFonts w:ascii="Arial" w:eastAsia="Times New Roman" w:hAnsi="Arial"/>
          <w:b/>
          <w:bCs/>
          <w:color w:val="000000" w:themeColor="text1"/>
          <w:sz w:val="20"/>
          <w:szCs w:val="20"/>
        </w:rPr>
        <w:sectPr w:rsidR="007364BD" w:rsidRPr="007364BD" w:rsidSect="007364BD">
          <w:type w:val="continuous"/>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pgNumType w:start="1"/>
          <w:cols w:num="2" w:space="720"/>
          <w:docGrid w:linePitch="326"/>
        </w:sectPr>
      </w:pPr>
    </w:p>
    <w:p w14:paraId="41D90FF5"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b/>
          <w:bCs/>
          <w:color w:val="000000" w:themeColor="text1"/>
          <w:sz w:val="20"/>
          <w:szCs w:val="20"/>
        </w:rPr>
        <w:t>Association of Income with Barriers</w:t>
      </w:r>
    </w:p>
    <w:tbl>
      <w:tblPr>
        <w:tblStyle w:val="Table3"/>
        <w:tblW w:w="5000" w:type="pct"/>
        <w:tblInd w:w="0" w:type="dxa"/>
        <w:tblBorders>
          <w:top w:val="nil"/>
          <w:left w:val="nil"/>
          <w:bottom w:val="nil"/>
          <w:right w:val="nil"/>
          <w:insideH w:val="nil"/>
          <w:insideV w:val="nil"/>
        </w:tblBorders>
        <w:tblLook w:val="0600" w:firstRow="0" w:lastRow="0" w:firstColumn="0" w:lastColumn="0" w:noHBand="1" w:noVBand="1"/>
      </w:tblPr>
      <w:tblGrid>
        <w:gridCol w:w="4926"/>
        <w:gridCol w:w="4424"/>
      </w:tblGrid>
      <w:tr w:rsidR="00A14608" w:rsidRPr="007364BD" w14:paraId="0DA65F91" w14:textId="77777777" w:rsidTr="00A253EC">
        <w:trPr>
          <w:trHeight w:val="500"/>
        </w:trPr>
        <w:tc>
          <w:tcPr>
            <w:tcW w:w="2634"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F4607E4" w14:textId="77777777" w:rsidR="00A14608" w:rsidRPr="007364BD" w:rsidRDefault="00000000" w:rsidP="004E1F91">
            <w:pPr>
              <w:spacing w:line="276" w:lineRule="auto"/>
              <w:jc w:val="center"/>
              <w:rPr>
                <w:rFonts w:ascii="Arial" w:eastAsia="Times New Roman" w:hAnsi="Arial"/>
                <w:color w:val="000000" w:themeColor="text1"/>
                <w:sz w:val="20"/>
                <w:szCs w:val="20"/>
              </w:rPr>
            </w:pPr>
            <w:r w:rsidRPr="007364BD">
              <w:rPr>
                <w:rFonts w:ascii="Arial" w:eastAsia="Times New Roman" w:hAnsi="Arial"/>
                <w:b/>
                <w:bCs/>
                <w:color w:val="000000" w:themeColor="text1"/>
                <w:sz w:val="20"/>
                <w:szCs w:val="20"/>
              </w:rPr>
              <w:t>Income Group</w:t>
            </w:r>
          </w:p>
        </w:tc>
        <w:tc>
          <w:tcPr>
            <w:tcW w:w="2366"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CA98027" w14:textId="77777777" w:rsidR="00A14608" w:rsidRPr="007364BD" w:rsidRDefault="00000000" w:rsidP="004E1F91">
            <w:pPr>
              <w:spacing w:line="276" w:lineRule="auto"/>
              <w:jc w:val="center"/>
              <w:rPr>
                <w:rFonts w:ascii="Arial" w:eastAsia="Times New Roman" w:hAnsi="Arial"/>
                <w:color w:val="000000" w:themeColor="text1"/>
                <w:sz w:val="20"/>
                <w:szCs w:val="20"/>
              </w:rPr>
            </w:pPr>
            <w:r w:rsidRPr="007364BD">
              <w:rPr>
                <w:rFonts w:ascii="Arial" w:eastAsia="Times New Roman" w:hAnsi="Arial"/>
                <w:b/>
                <w:bCs/>
                <w:color w:val="000000" w:themeColor="text1"/>
                <w:sz w:val="20"/>
                <w:szCs w:val="20"/>
              </w:rPr>
              <w:t>Barriers (%)</w:t>
            </w:r>
          </w:p>
        </w:tc>
      </w:tr>
      <w:tr w:rsidR="00A14608" w:rsidRPr="007364BD" w14:paraId="04A8AAD1" w14:textId="77777777" w:rsidTr="00A253EC">
        <w:trPr>
          <w:trHeight w:val="500"/>
        </w:trPr>
        <w:tc>
          <w:tcPr>
            <w:tcW w:w="2634"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2ACF9D8"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Do not disclose</w:t>
            </w:r>
          </w:p>
        </w:tc>
        <w:tc>
          <w:tcPr>
            <w:tcW w:w="2366"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F9A7D8"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10.0%</w:t>
            </w:r>
          </w:p>
        </w:tc>
      </w:tr>
      <w:tr w:rsidR="00A14608" w:rsidRPr="007364BD" w14:paraId="38213970" w14:textId="77777777" w:rsidTr="00A253EC">
        <w:trPr>
          <w:trHeight w:val="500"/>
        </w:trPr>
        <w:tc>
          <w:tcPr>
            <w:tcW w:w="2634"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5ADC0E2"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No income</w:t>
            </w:r>
          </w:p>
        </w:tc>
        <w:tc>
          <w:tcPr>
            <w:tcW w:w="2366"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5CD82D8"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15.7%</w:t>
            </w:r>
          </w:p>
        </w:tc>
      </w:tr>
      <w:tr w:rsidR="00A14608" w:rsidRPr="007364BD" w14:paraId="33FD6565" w14:textId="77777777" w:rsidTr="00A253EC">
        <w:trPr>
          <w:trHeight w:val="500"/>
        </w:trPr>
        <w:tc>
          <w:tcPr>
            <w:tcW w:w="2634"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DA55487"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₹5k–10k</w:t>
            </w:r>
          </w:p>
        </w:tc>
        <w:tc>
          <w:tcPr>
            <w:tcW w:w="2366"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AA8ACE2"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7.5%</w:t>
            </w:r>
          </w:p>
        </w:tc>
      </w:tr>
      <w:tr w:rsidR="00A14608" w:rsidRPr="007364BD" w14:paraId="355BB706" w14:textId="77777777" w:rsidTr="00A253EC">
        <w:trPr>
          <w:trHeight w:val="500"/>
        </w:trPr>
        <w:tc>
          <w:tcPr>
            <w:tcW w:w="2634"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B27A0F2"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₹10k–15k</w:t>
            </w:r>
          </w:p>
        </w:tc>
        <w:tc>
          <w:tcPr>
            <w:tcW w:w="2366"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A5621CE"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13.4%</w:t>
            </w:r>
          </w:p>
        </w:tc>
      </w:tr>
      <w:tr w:rsidR="00A14608" w:rsidRPr="007364BD" w14:paraId="1BDB93A2" w14:textId="77777777" w:rsidTr="00A253EC">
        <w:trPr>
          <w:trHeight w:val="500"/>
        </w:trPr>
        <w:tc>
          <w:tcPr>
            <w:tcW w:w="2634"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A893D32"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₹15k–20k</w:t>
            </w:r>
          </w:p>
        </w:tc>
        <w:tc>
          <w:tcPr>
            <w:tcW w:w="2366"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DFD5CBD"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20.8%</w:t>
            </w:r>
          </w:p>
        </w:tc>
      </w:tr>
      <w:tr w:rsidR="00A14608" w:rsidRPr="007364BD" w14:paraId="4BBAD8EC" w14:textId="77777777" w:rsidTr="00A253EC">
        <w:trPr>
          <w:trHeight w:val="500"/>
        </w:trPr>
        <w:tc>
          <w:tcPr>
            <w:tcW w:w="2634"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1BB6094"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₹20k–30k</w:t>
            </w:r>
          </w:p>
        </w:tc>
        <w:tc>
          <w:tcPr>
            <w:tcW w:w="2366"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C74E67C"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17.2%</w:t>
            </w:r>
          </w:p>
        </w:tc>
      </w:tr>
      <w:tr w:rsidR="00A14608" w:rsidRPr="007364BD" w14:paraId="4A6822B5" w14:textId="77777777" w:rsidTr="00A253EC">
        <w:trPr>
          <w:trHeight w:val="500"/>
        </w:trPr>
        <w:tc>
          <w:tcPr>
            <w:tcW w:w="2634"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A20A036"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₹30k–40k</w:t>
            </w:r>
          </w:p>
        </w:tc>
        <w:tc>
          <w:tcPr>
            <w:tcW w:w="2366"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0AF2696"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18.1%</w:t>
            </w:r>
          </w:p>
        </w:tc>
      </w:tr>
      <w:tr w:rsidR="00A14608" w:rsidRPr="007364BD" w14:paraId="7D94E045" w14:textId="77777777" w:rsidTr="00A253EC">
        <w:trPr>
          <w:trHeight w:val="500"/>
        </w:trPr>
        <w:tc>
          <w:tcPr>
            <w:tcW w:w="2634"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80847E8"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₹40k–50k</w:t>
            </w:r>
          </w:p>
        </w:tc>
        <w:tc>
          <w:tcPr>
            <w:tcW w:w="2366"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0BB5412"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14.7%</w:t>
            </w:r>
          </w:p>
        </w:tc>
      </w:tr>
      <w:tr w:rsidR="00A14608" w:rsidRPr="007364BD" w14:paraId="05743353" w14:textId="77777777" w:rsidTr="00A253EC">
        <w:trPr>
          <w:trHeight w:val="500"/>
        </w:trPr>
        <w:tc>
          <w:tcPr>
            <w:tcW w:w="2634"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36CBDF0"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₹50k–60k</w:t>
            </w:r>
          </w:p>
        </w:tc>
        <w:tc>
          <w:tcPr>
            <w:tcW w:w="2366"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DBF783B"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15.4%</w:t>
            </w:r>
          </w:p>
        </w:tc>
      </w:tr>
      <w:tr w:rsidR="00A14608" w:rsidRPr="007364BD" w14:paraId="310B8E8F" w14:textId="77777777" w:rsidTr="00A253EC">
        <w:trPr>
          <w:trHeight w:val="500"/>
        </w:trPr>
        <w:tc>
          <w:tcPr>
            <w:tcW w:w="2634"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5E199FE"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₹60k–80k</w:t>
            </w:r>
          </w:p>
        </w:tc>
        <w:tc>
          <w:tcPr>
            <w:tcW w:w="2366"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ADD90DF"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10.0%</w:t>
            </w:r>
          </w:p>
        </w:tc>
      </w:tr>
      <w:tr w:rsidR="00A14608" w:rsidRPr="007364BD" w14:paraId="2A5522D4" w14:textId="77777777" w:rsidTr="00A253EC">
        <w:trPr>
          <w:trHeight w:val="500"/>
        </w:trPr>
        <w:tc>
          <w:tcPr>
            <w:tcW w:w="2634"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368CBBC"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₹80k–1L</w:t>
            </w:r>
          </w:p>
        </w:tc>
        <w:tc>
          <w:tcPr>
            <w:tcW w:w="2366"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65C9F3A"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13.5%</w:t>
            </w:r>
          </w:p>
        </w:tc>
      </w:tr>
    </w:tbl>
    <w:p w14:paraId="1F3E9AF7" w14:textId="77777777" w:rsidR="007364BD" w:rsidRPr="007364BD" w:rsidRDefault="007364BD" w:rsidP="004E1F91">
      <w:pPr>
        <w:spacing w:line="276" w:lineRule="auto"/>
        <w:ind w:firstLine="720"/>
        <w:rPr>
          <w:rFonts w:ascii="Arial" w:eastAsia="Times New Roman" w:hAnsi="Arial"/>
          <w:color w:val="000000" w:themeColor="text1"/>
          <w:sz w:val="20"/>
          <w:szCs w:val="20"/>
        </w:rPr>
        <w:sectPr w:rsidR="007364BD" w:rsidRPr="007364BD" w:rsidSect="007364BD">
          <w:type w:val="continuous"/>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pgNumType w:start="1"/>
          <w:cols w:space="720"/>
          <w:docGrid w:linePitch="326"/>
        </w:sectPr>
      </w:pPr>
    </w:p>
    <w:p w14:paraId="1F25DFAE" w14:textId="78221596" w:rsidR="00A14608" w:rsidRPr="007364BD" w:rsidRDefault="00335FEF" w:rsidP="004E1F91">
      <w:pPr>
        <w:spacing w:line="276" w:lineRule="auto"/>
        <w:ind w:firstLine="720"/>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However, the relationship between barriers and income, in turn, is not as obvious. The middle-income groups (₹15,000-40,000 range) are facing relatively higher perceived barriers particularly in the dimensions of knowledge gap, risk perception and uncertainty. The lower-income groups also exhibit barriers but these tend to be connected with the inability to afford them. The increases in the income groups report relatively lower barriers, though they are not non-existent.</w:t>
      </w:r>
    </w:p>
    <w:p w14:paraId="0B02E6B0" w14:textId="77777777" w:rsidR="00A14608" w:rsidRPr="007364BD" w:rsidRDefault="00000000" w:rsidP="004E1F91">
      <w:pPr>
        <w:spacing w:line="276" w:lineRule="auto"/>
        <w:ind w:firstLine="720"/>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 xml:space="preserve">This trend shows that the middle-income group is an important target group to be targeted. The people have the financial ability to invest but are limited by ignorance, fear of losing, and not knowing what to do. On the whole, the results of the cross-tabulation confirm the main thesis of the work, where the barriers play a more important role than motivation, and their influence differs by the income groups, with the middle-income groups being especially affected (Baveja &amp; Verma, 2024; </w:t>
      </w:r>
      <w:proofErr w:type="spellStart"/>
      <w:r w:rsidRPr="007364BD">
        <w:rPr>
          <w:rFonts w:ascii="Arial" w:eastAsia="Times New Roman" w:hAnsi="Arial"/>
          <w:color w:val="000000" w:themeColor="text1"/>
          <w:sz w:val="20"/>
          <w:szCs w:val="20"/>
        </w:rPr>
        <w:t>Lakoni</w:t>
      </w:r>
      <w:proofErr w:type="spellEnd"/>
      <w:r w:rsidRPr="007364BD">
        <w:rPr>
          <w:rFonts w:ascii="Arial" w:eastAsia="Times New Roman" w:hAnsi="Arial"/>
          <w:color w:val="000000" w:themeColor="text1"/>
          <w:sz w:val="20"/>
          <w:szCs w:val="20"/>
        </w:rPr>
        <w:t xml:space="preserve"> et al., 2023).</w:t>
      </w:r>
    </w:p>
    <w:p w14:paraId="0958A490" w14:textId="77777777" w:rsidR="00A14608" w:rsidRPr="007364BD" w:rsidRDefault="00000000" w:rsidP="004E1F91">
      <w:pPr>
        <w:pStyle w:val="Heading2"/>
        <w:keepNext w:val="0"/>
        <w:keepLines w:val="0"/>
        <w:spacing w:before="0" w:after="0" w:line="276" w:lineRule="auto"/>
        <w:rPr>
          <w:rFonts w:ascii="Arial" w:eastAsia="Times New Roman" w:hAnsi="Arial"/>
          <w:b/>
          <w:bCs/>
          <w:color w:val="000000" w:themeColor="text1"/>
          <w:sz w:val="20"/>
          <w:szCs w:val="20"/>
        </w:rPr>
      </w:pPr>
      <w:bookmarkStart w:id="12" w:name="_q466n5suuj40" w:colFirst="0" w:colLast="0"/>
      <w:bookmarkEnd w:id="12"/>
      <w:r w:rsidRPr="007364BD">
        <w:rPr>
          <w:rFonts w:ascii="Arial" w:eastAsia="Times New Roman" w:hAnsi="Arial"/>
          <w:b/>
          <w:bCs/>
          <w:color w:val="000000" w:themeColor="text1"/>
          <w:sz w:val="20"/>
          <w:szCs w:val="20"/>
        </w:rPr>
        <w:t xml:space="preserve">Factor Analysis (EFA Results) </w:t>
      </w:r>
    </w:p>
    <w:p w14:paraId="28ADEBC0" w14:textId="77777777" w:rsidR="00A14608" w:rsidRPr="007364BD" w:rsidRDefault="00000000" w:rsidP="004E1F91">
      <w:pPr>
        <w:spacing w:line="276" w:lineRule="auto"/>
        <w:ind w:firstLine="720"/>
        <w:rPr>
          <w:rFonts w:ascii="Arial" w:eastAsia="Times New Roman" w:hAnsi="Arial"/>
          <w:color w:val="000000" w:themeColor="text1"/>
          <w:sz w:val="20"/>
          <w:szCs w:val="20"/>
        </w:rPr>
      </w:pPr>
      <w:r w:rsidRPr="007364BD">
        <w:rPr>
          <w:rFonts w:ascii="Arial" w:eastAsia="Times New Roman" w:hAnsi="Arial"/>
          <w:color w:val="000000" w:themeColor="text1"/>
          <w:sz w:val="20"/>
          <w:szCs w:val="20"/>
        </w:rPr>
        <w:lastRenderedPageBreak/>
        <w:t xml:space="preserve">Exploratory Factor Analysis (EFA) was utilized to figure out latent constructs within the data of intermediates. </w:t>
      </w:r>
    </w:p>
    <w:p w14:paraId="3FCBB1D3" w14:textId="77777777" w:rsidR="007364BD" w:rsidRPr="007364BD" w:rsidRDefault="007364BD" w:rsidP="004E1F91">
      <w:pPr>
        <w:spacing w:line="276" w:lineRule="auto"/>
        <w:rPr>
          <w:rFonts w:ascii="Arial" w:eastAsia="Times New Roman" w:hAnsi="Arial"/>
          <w:b/>
          <w:bCs/>
          <w:color w:val="000000" w:themeColor="text1"/>
          <w:sz w:val="20"/>
          <w:szCs w:val="20"/>
        </w:rPr>
        <w:sectPr w:rsidR="007364BD" w:rsidRPr="007364BD" w:rsidSect="007364BD">
          <w:type w:val="continuous"/>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pgNumType w:start="1"/>
          <w:cols w:num="2" w:space="720"/>
          <w:docGrid w:linePitch="326"/>
        </w:sectPr>
      </w:pPr>
    </w:p>
    <w:p w14:paraId="3339EA82" w14:textId="77777777" w:rsidR="00A14608" w:rsidRPr="007364BD" w:rsidRDefault="00000000" w:rsidP="004E1F91">
      <w:pPr>
        <w:spacing w:line="276" w:lineRule="auto"/>
        <w:rPr>
          <w:rFonts w:ascii="Arial" w:eastAsia="Times New Roman" w:hAnsi="Arial"/>
          <w:b/>
          <w:bCs/>
          <w:color w:val="000000" w:themeColor="text1"/>
          <w:sz w:val="20"/>
          <w:szCs w:val="20"/>
        </w:rPr>
      </w:pPr>
      <w:r w:rsidRPr="007364BD">
        <w:rPr>
          <w:rFonts w:ascii="Arial" w:eastAsia="Times New Roman" w:hAnsi="Arial"/>
          <w:b/>
          <w:bCs/>
          <w:color w:val="000000" w:themeColor="text1"/>
          <w:sz w:val="20"/>
          <w:szCs w:val="20"/>
        </w:rPr>
        <w:t>Exploratory factor analysis</w:t>
      </w:r>
    </w:p>
    <w:tbl>
      <w:tblPr>
        <w:tblStyle w:val="Table4"/>
        <w:tblW w:w="5000" w:type="pct"/>
        <w:tblInd w:w="0" w:type="dxa"/>
        <w:tblBorders>
          <w:top w:val="nil"/>
          <w:left w:val="nil"/>
          <w:bottom w:val="nil"/>
          <w:right w:val="nil"/>
          <w:insideH w:val="nil"/>
          <w:insideV w:val="nil"/>
        </w:tblBorders>
        <w:tblLook w:val="0600" w:firstRow="0" w:lastRow="0" w:firstColumn="0" w:lastColumn="0" w:noHBand="1" w:noVBand="1"/>
      </w:tblPr>
      <w:tblGrid>
        <w:gridCol w:w="4500"/>
        <w:gridCol w:w="3405"/>
        <w:gridCol w:w="1439"/>
      </w:tblGrid>
      <w:tr w:rsidR="00A14608" w:rsidRPr="007364BD" w14:paraId="534511BC" w14:textId="77777777" w:rsidTr="00A253EC">
        <w:trPr>
          <w:trHeight w:val="450"/>
        </w:trPr>
        <w:tc>
          <w:tcPr>
            <w:tcW w:w="5000" w:type="pct"/>
            <w:gridSpan w:val="3"/>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FE65B30"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KMO and Bartlett's Test</w:t>
            </w:r>
          </w:p>
        </w:tc>
      </w:tr>
      <w:tr w:rsidR="00A14608" w:rsidRPr="007364BD" w14:paraId="77977FDE" w14:textId="77777777" w:rsidTr="00A253EC">
        <w:trPr>
          <w:trHeight w:val="720"/>
        </w:trPr>
        <w:tc>
          <w:tcPr>
            <w:tcW w:w="4229" w:type="pct"/>
            <w:gridSpan w:val="2"/>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BC63636"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Kaiser-Meyer-Olkin Measure of Sampling Adequacy.</w:t>
            </w:r>
          </w:p>
        </w:tc>
        <w:tc>
          <w:tcPr>
            <w:tcW w:w="771" w:type="pct"/>
            <w:tcBorders>
              <w:top w:val="nil"/>
              <w:left w:val="nil"/>
              <w:bottom w:val="single" w:sz="6" w:space="0" w:color="000000"/>
              <w:right w:val="single" w:sz="6" w:space="0" w:color="000000"/>
            </w:tcBorders>
            <w:tcMar>
              <w:top w:w="0" w:type="dxa"/>
              <w:left w:w="100" w:type="dxa"/>
              <w:bottom w:w="0" w:type="dxa"/>
              <w:right w:w="100" w:type="dxa"/>
            </w:tcMar>
          </w:tcPr>
          <w:p w14:paraId="1E1A7216"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.638</w:t>
            </w:r>
          </w:p>
        </w:tc>
      </w:tr>
      <w:tr w:rsidR="00A14608" w:rsidRPr="007364BD" w14:paraId="0582A6E4" w14:textId="77777777" w:rsidTr="00A253EC">
        <w:trPr>
          <w:trHeight w:val="450"/>
        </w:trPr>
        <w:tc>
          <w:tcPr>
            <w:tcW w:w="2408" w:type="pct"/>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A116B9A"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Bartlett's Test of Sphericity</w:t>
            </w:r>
          </w:p>
        </w:tc>
        <w:tc>
          <w:tcPr>
            <w:tcW w:w="1822" w:type="pct"/>
            <w:tcBorders>
              <w:top w:val="nil"/>
              <w:left w:val="nil"/>
              <w:bottom w:val="single" w:sz="6" w:space="0" w:color="000000"/>
              <w:right w:val="single" w:sz="6" w:space="0" w:color="000000"/>
            </w:tcBorders>
            <w:tcMar>
              <w:top w:w="0" w:type="dxa"/>
              <w:left w:w="100" w:type="dxa"/>
              <w:bottom w:w="0" w:type="dxa"/>
              <w:right w:w="100" w:type="dxa"/>
            </w:tcMar>
          </w:tcPr>
          <w:p w14:paraId="5959A179"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Approx. Chi-Square</w:t>
            </w:r>
          </w:p>
        </w:tc>
        <w:tc>
          <w:tcPr>
            <w:tcW w:w="771" w:type="pct"/>
            <w:tcBorders>
              <w:top w:val="nil"/>
              <w:left w:val="nil"/>
              <w:bottom w:val="single" w:sz="6" w:space="0" w:color="000000"/>
              <w:right w:val="single" w:sz="6" w:space="0" w:color="000000"/>
            </w:tcBorders>
            <w:tcMar>
              <w:top w:w="0" w:type="dxa"/>
              <w:left w:w="100" w:type="dxa"/>
              <w:bottom w:w="0" w:type="dxa"/>
              <w:right w:w="100" w:type="dxa"/>
            </w:tcMar>
          </w:tcPr>
          <w:p w14:paraId="5E949771"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466.431</w:t>
            </w:r>
          </w:p>
        </w:tc>
      </w:tr>
      <w:tr w:rsidR="00A14608" w:rsidRPr="007364BD" w14:paraId="078E8CF8" w14:textId="77777777" w:rsidTr="00A253EC">
        <w:trPr>
          <w:trHeight w:val="450"/>
        </w:trPr>
        <w:tc>
          <w:tcPr>
            <w:tcW w:w="2408" w:type="pct"/>
            <w:vMerge/>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00492E55" w14:textId="77777777" w:rsidR="00A14608" w:rsidRPr="007364BD" w:rsidRDefault="00A14608" w:rsidP="004E1F91">
            <w:pPr>
              <w:spacing w:line="276" w:lineRule="auto"/>
              <w:rPr>
                <w:rFonts w:ascii="Arial" w:eastAsia="Times New Roman" w:hAnsi="Arial"/>
                <w:color w:val="000000" w:themeColor="text1"/>
                <w:sz w:val="20"/>
                <w:szCs w:val="20"/>
              </w:rPr>
            </w:pPr>
          </w:p>
        </w:tc>
        <w:tc>
          <w:tcPr>
            <w:tcW w:w="1822" w:type="pct"/>
            <w:tcBorders>
              <w:top w:val="nil"/>
              <w:left w:val="nil"/>
              <w:bottom w:val="single" w:sz="6" w:space="0" w:color="000000"/>
              <w:right w:val="single" w:sz="6" w:space="0" w:color="000000"/>
            </w:tcBorders>
            <w:tcMar>
              <w:top w:w="0" w:type="dxa"/>
              <w:left w:w="100" w:type="dxa"/>
              <w:bottom w:w="0" w:type="dxa"/>
              <w:right w:w="100" w:type="dxa"/>
            </w:tcMar>
          </w:tcPr>
          <w:p w14:paraId="12831A85" w14:textId="77777777" w:rsidR="00A14608" w:rsidRPr="007364BD" w:rsidRDefault="00000000" w:rsidP="004E1F91">
            <w:pPr>
              <w:spacing w:line="276" w:lineRule="auto"/>
              <w:rPr>
                <w:rFonts w:ascii="Arial" w:eastAsia="Times New Roman" w:hAnsi="Arial"/>
                <w:color w:val="000000" w:themeColor="text1"/>
                <w:sz w:val="20"/>
                <w:szCs w:val="20"/>
              </w:rPr>
            </w:pPr>
            <w:proofErr w:type="spellStart"/>
            <w:r w:rsidRPr="007364BD">
              <w:rPr>
                <w:rFonts w:ascii="Arial" w:eastAsia="Times New Roman" w:hAnsi="Arial"/>
                <w:color w:val="000000" w:themeColor="text1"/>
                <w:sz w:val="20"/>
                <w:szCs w:val="20"/>
              </w:rPr>
              <w:t>df</w:t>
            </w:r>
            <w:proofErr w:type="spellEnd"/>
          </w:p>
        </w:tc>
        <w:tc>
          <w:tcPr>
            <w:tcW w:w="771" w:type="pct"/>
            <w:tcBorders>
              <w:top w:val="nil"/>
              <w:left w:val="nil"/>
              <w:bottom w:val="single" w:sz="6" w:space="0" w:color="000000"/>
              <w:right w:val="single" w:sz="6" w:space="0" w:color="000000"/>
            </w:tcBorders>
            <w:tcMar>
              <w:top w:w="0" w:type="dxa"/>
              <w:left w:w="100" w:type="dxa"/>
              <w:bottom w:w="0" w:type="dxa"/>
              <w:right w:w="100" w:type="dxa"/>
            </w:tcMar>
          </w:tcPr>
          <w:p w14:paraId="4A9D172A"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45</w:t>
            </w:r>
          </w:p>
        </w:tc>
      </w:tr>
      <w:tr w:rsidR="00A14608" w:rsidRPr="007364BD" w14:paraId="5C109AC7" w14:textId="77777777" w:rsidTr="00A253EC">
        <w:trPr>
          <w:trHeight w:val="450"/>
        </w:trPr>
        <w:tc>
          <w:tcPr>
            <w:tcW w:w="2408" w:type="pct"/>
            <w:vMerge/>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02C2C291" w14:textId="77777777" w:rsidR="00A14608" w:rsidRPr="007364BD" w:rsidRDefault="00A14608" w:rsidP="004E1F91">
            <w:pPr>
              <w:spacing w:line="276" w:lineRule="auto"/>
              <w:rPr>
                <w:rFonts w:ascii="Arial" w:eastAsia="Times New Roman" w:hAnsi="Arial"/>
                <w:color w:val="000000" w:themeColor="text1"/>
                <w:sz w:val="20"/>
                <w:szCs w:val="20"/>
              </w:rPr>
            </w:pPr>
          </w:p>
        </w:tc>
        <w:tc>
          <w:tcPr>
            <w:tcW w:w="1822" w:type="pct"/>
            <w:tcBorders>
              <w:top w:val="nil"/>
              <w:left w:val="nil"/>
              <w:bottom w:val="single" w:sz="6" w:space="0" w:color="000000"/>
              <w:right w:val="single" w:sz="6" w:space="0" w:color="000000"/>
            </w:tcBorders>
            <w:tcMar>
              <w:top w:w="0" w:type="dxa"/>
              <w:left w:w="100" w:type="dxa"/>
              <w:bottom w:w="0" w:type="dxa"/>
              <w:right w:w="100" w:type="dxa"/>
            </w:tcMar>
          </w:tcPr>
          <w:p w14:paraId="04AED832"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Sig.</w:t>
            </w:r>
          </w:p>
        </w:tc>
        <w:tc>
          <w:tcPr>
            <w:tcW w:w="771" w:type="pct"/>
            <w:tcBorders>
              <w:top w:val="nil"/>
              <w:left w:val="nil"/>
              <w:bottom w:val="single" w:sz="6" w:space="0" w:color="000000"/>
              <w:right w:val="single" w:sz="6" w:space="0" w:color="000000"/>
            </w:tcBorders>
            <w:tcMar>
              <w:top w:w="0" w:type="dxa"/>
              <w:left w:w="100" w:type="dxa"/>
              <w:bottom w:w="0" w:type="dxa"/>
              <w:right w:w="100" w:type="dxa"/>
            </w:tcMar>
          </w:tcPr>
          <w:p w14:paraId="42A8AD64"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.000</w:t>
            </w:r>
          </w:p>
        </w:tc>
      </w:tr>
    </w:tbl>
    <w:p w14:paraId="040E9D76" w14:textId="77777777" w:rsidR="00A14608" w:rsidRPr="007364BD" w:rsidRDefault="00000000" w:rsidP="004E1F91">
      <w:pPr>
        <w:spacing w:line="276" w:lineRule="auto"/>
        <w:ind w:firstLine="720"/>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 xml:space="preserve">The Kaiser-Meyer-Olkin (KMO) measure of sampling adequacy was found to be 0.638, which implies that it is sufficiently suitable to conduct the factor analysis. The Test of Sphericity by Bartlett was statistically significant (p &lt; 0.001), which proved that the variables are correlated enough to warrant factor extraction. </w:t>
      </w:r>
    </w:p>
    <w:p w14:paraId="3FBB7130" w14:textId="77777777" w:rsidR="00A14608" w:rsidRPr="007364BD" w:rsidRDefault="00A14608" w:rsidP="004E1F91">
      <w:pPr>
        <w:spacing w:line="276" w:lineRule="auto"/>
        <w:rPr>
          <w:rFonts w:ascii="Arial" w:eastAsia="Times New Roman" w:hAnsi="Arial"/>
          <w:color w:val="000000" w:themeColor="text1"/>
          <w:sz w:val="20"/>
          <w:szCs w:val="20"/>
        </w:rPr>
      </w:pPr>
    </w:p>
    <w:tbl>
      <w:tblPr>
        <w:tblStyle w:val="Table5"/>
        <w:tblW w:w="5000" w:type="pct"/>
        <w:tblInd w:w="0" w:type="dxa"/>
        <w:tblBorders>
          <w:top w:val="nil"/>
          <w:left w:val="nil"/>
          <w:bottom w:val="nil"/>
          <w:right w:val="nil"/>
          <w:insideH w:val="nil"/>
          <w:insideV w:val="nil"/>
        </w:tblBorders>
        <w:tblLook w:val="0600" w:firstRow="0" w:lastRow="0" w:firstColumn="0" w:lastColumn="0" w:noHBand="1" w:noVBand="1"/>
      </w:tblPr>
      <w:tblGrid>
        <w:gridCol w:w="3006"/>
        <w:gridCol w:w="2112"/>
        <w:gridCol w:w="2112"/>
        <w:gridCol w:w="2114"/>
      </w:tblGrid>
      <w:tr w:rsidR="00A14608" w:rsidRPr="007364BD" w14:paraId="26581071" w14:textId="77777777" w:rsidTr="00A253EC">
        <w:trPr>
          <w:trHeight w:val="525"/>
        </w:trPr>
        <w:tc>
          <w:tcPr>
            <w:tcW w:w="5000" w:type="pct"/>
            <w:gridSpan w:val="4"/>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4F2168E" w14:textId="77777777" w:rsidR="00A14608" w:rsidRPr="007364BD" w:rsidRDefault="00000000" w:rsidP="004E1F91">
            <w:pPr>
              <w:spacing w:line="276" w:lineRule="auto"/>
              <w:rPr>
                <w:rFonts w:ascii="Arial" w:eastAsia="Times New Roman" w:hAnsi="Arial"/>
                <w:color w:val="000000" w:themeColor="text1"/>
                <w:sz w:val="20"/>
                <w:szCs w:val="20"/>
                <w:vertAlign w:val="superscript"/>
              </w:rPr>
            </w:pPr>
            <w:r w:rsidRPr="007364BD">
              <w:rPr>
                <w:rFonts w:ascii="Arial" w:eastAsia="Times New Roman" w:hAnsi="Arial"/>
                <w:color w:val="000000" w:themeColor="text1"/>
                <w:sz w:val="20"/>
                <w:szCs w:val="20"/>
              </w:rPr>
              <w:t>Rotated Component Matrix</w:t>
            </w:r>
          </w:p>
        </w:tc>
      </w:tr>
      <w:tr w:rsidR="00A14608" w:rsidRPr="007364BD" w14:paraId="5DAB582D" w14:textId="77777777" w:rsidTr="00A253EC">
        <w:trPr>
          <w:trHeight w:val="450"/>
        </w:trPr>
        <w:tc>
          <w:tcPr>
            <w:tcW w:w="1609" w:type="pct"/>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B7B8423"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 xml:space="preserve"> </w:t>
            </w:r>
          </w:p>
        </w:tc>
        <w:tc>
          <w:tcPr>
            <w:tcW w:w="3391" w:type="pct"/>
            <w:gridSpan w:val="3"/>
            <w:tcBorders>
              <w:top w:val="nil"/>
              <w:left w:val="nil"/>
              <w:bottom w:val="single" w:sz="6" w:space="0" w:color="000000"/>
              <w:right w:val="single" w:sz="6" w:space="0" w:color="000000"/>
            </w:tcBorders>
            <w:tcMar>
              <w:top w:w="0" w:type="dxa"/>
              <w:left w:w="100" w:type="dxa"/>
              <w:bottom w:w="0" w:type="dxa"/>
              <w:right w:w="100" w:type="dxa"/>
            </w:tcMar>
          </w:tcPr>
          <w:p w14:paraId="6C88F852"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Component</w:t>
            </w:r>
          </w:p>
        </w:tc>
      </w:tr>
      <w:tr w:rsidR="00A14608" w:rsidRPr="007364BD" w14:paraId="7D4BF868" w14:textId="77777777" w:rsidTr="00A253EC">
        <w:trPr>
          <w:trHeight w:val="450"/>
        </w:trPr>
        <w:tc>
          <w:tcPr>
            <w:tcW w:w="1609" w:type="pct"/>
            <w:vMerge/>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11628FE4" w14:textId="77777777" w:rsidR="00A14608" w:rsidRPr="007364BD" w:rsidRDefault="00A14608" w:rsidP="004E1F91">
            <w:pPr>
              <w:spacing w:line="276" w:lineRule="auto"/>
              <w:rPr>
                <w:rFonts w:ascii="Arial" w:eastAsia="Times New Roman" w:hAnsi="Arial"/>
                <w:color w:val="000000" w:themeColor="text1"/>
                <w:sz w:val="20"/>
                <w:szCs w:val="20"/>
              </w:rPr>
            </w:pPr>
          </w:p>
        </w:tc>
        <w:tc>
          <w:tcPr>
            <w:tcW w:w="1130" w:type="pct"/>
            <w:tcBorders>
              <w:top w:val="nil"/>
              <w:left w:val="nil"/>
              <w:bottom w:val="single" w:sz="6" w:space="0" w:color="000000"/>
              <w:right w:val="single" w:sz="6" w:space="0" w:color="000000"/>
            </w:tcBorders>
            <w:tcMar>
              <w:top w:w="0" w:type="dxa"/>
              <w:left w:w="100" w:type="dxa"/>
              <w:bottom w:w="0" w:type="dxa"/>
              <w:right w:w="100" w:type="dxa"/>
            </w:tcMar>
          </w:tcPr>
          <w:p w14:paraId="0D36D3A1"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1</w:t>
            </w:r>
          </w:p>
        </w:tc>
        <w:tc>
          <w:tcPr>
            <w:tcW w:w="1130" w:type="pct"/>
            <w:tcBorders>
              <w:top w:val="nil"/>
              <w:left w:val="nil"/>
              <w:bottom w:val="single" w:sz="6" w:space="0" w:color="000000"/>
              <w:right w:val="single" w:sz="6" w:space="0" w:color="000000"/>
            </w:tcBorders>
            <w:tcMar>
              <w:top w:w="0" w:type="dxa"/>
              <w:left w:w="100" w:type="dxa"/>
              <w:bottom w:w="0" w:type="dxa"/>
              <w:right w:w="100" w:type="dxa"/>
            </w:tcMar>
          </w:tcPr>
          <w:p w14:paraId="0B618B01"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2</w:t>
            </w:r>
          </w:p>
        </w:tc>
        <w:tc>
          <w:tcPr>
            <w:tcW w:w="1130" w:type="pct"/>
            <w:tcBorders>
              <w:top w:val="nil"/>
              <w:left w:val="nil"/>
              <w:bottom w:val="single" w:sz="6" w:space="0" w:color="000000"/>
              <w:right w:val="single" w:sz="6" w:space="0" w:color="000000"/>
            </w:tcBorders>
            <w:tcMar>
              <w:top w:w="0" w:type="dxa"/>
              <w:left w:w="100" w:type="dxa"/>
              <w:bottom w:w="0" w:type="dxa"/>
              <w:right w:w="100" w:type="dxa"/>
            </w:tcMar>
          </w:tcPr>
          <w:p w14:paraId="381E4BBA"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3</w:t>
            </w:r>
          </w:p>
        </w:tc>
      </w:tr>
      <w:tr w:rsidR="00A14608" w:rsidRPr="007364BD" w14:paraId="2E14AA9E" w14:textId="77777777" w:rsidTr="00A253EC">
        <w:trPr>
          <w:trHeight w:val="450"/>
        </w:trPr>
        <w:tc>
          <w:tcPr>
            <w:tcW w:w="1609" w:type="pc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685A5D0"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IRBC1</w:t>
            </w:r>
          </w:p>
        </w:tc>
        <w:tc>
          <w:tcPr>
            <w:tcW w:w="1130" w:type="pct"/>
            <w:tcBorders>
              <w:top w:val="nil"/>
              <w:left w:val="nil"/>
              <w:bottom w:val="single" w:sz="6" w:space="0" w:color="000000"/>
              <w:right w:val="single" w:sz="6" w:space="0" w:color="000000"/>
            </w:tcBorders>
            <w:tcMar>
              <w:top w:w="0" w:type="dxa"/>
              <w:left w:w="100" w:type="dxa"/>
              <w:bottom w:w="0" w:type="dxa"/>
              <w:right w:w="100" w:type="dxa"/>
            </w:tcMar>
          </w:tcPr>
          <w:p w14:paraId="30371C77"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 xml:space="preserve"> </w:t>
            </w:r>
          </w:p>
        </w:tc>
        <w:tc>
          <w:tcPr>
            <w:tcW w:w="1130" w:type="pct"/>
            <w:tcBorders>
              <w:top w:val="nil"/>
              <w:left w:val="nil"/>
              <w:bottom w:val="single" w:sz="6" w:space="0" w:color="000000"/>
              <w:right w:val="single" w:sz="6" w:space="0" w:color="000000"/>
            </w:tcBorders>
            <w:tcMar>
              <w:top w:w="0" w:type="dxa"/>
              <w:left w:w="100" w:type="dxa"/>
              <w:bottom w:w="0" w:type="dxa"/>
              <w:right w:w="100" w:type="dxa"/>
            </w:tcMar>
          </w:tcPr>
          <w:p w14:paraId="4D4BDD64"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 xml:space="preserve"> </w:t>
            </w:r>
          </w:p>
        </w:tc>
        <w:tc>
          <w:tcPr>
            <w:tcW w:w="1130" w:type="pct"/>
            <w:tcBorders>
              <w:top w:val="nil"/>
              <w:left w:val="nil"/>
              <w:bottom w:val="single" w:sz="6" w:space="0" w:color="000000"/>
              <w:right w:val="single" w:sz="6" w:space="0" w:color="000000"/>
            </w:tcBorders>
            <w:tcMar>
              <w:top w:w="0" w:type="dxa"/>
              <w:left w:w="100" w:type="dxa"/>
              <w:bottom w:w="0" w:type="dxa"/>
              <w:right w:w="100" w:type="dxa"/>
            </w:tcMar>
          </w:tcPr>
          <w:p w14:paraId="72792F33"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.754</w:t>
            </w:r>
          </w:p>
        </w:tc>
      </w:tr>
      <w:tr w:rsidR="00A14608" w:rsidRPr="007364BD" w14:paraId="1BA9A480" w14:textId="77777777" w:rsidTr="00A253EC">
        <w:trPr>
          <w:trHeight w:val="450"/>
        </w:trPr>
        <w:tc>
          <w:tcPr>
            <w:tcW w:w="1609" w:type="pc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9E2493C"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IRBC2</w:t>
            </w:r>
          </w:p>
        </w:tc>
        <w:tc>
          <w:tcPr>
            <w:tcW w:w="1130" w:type="pct"/>
            <w:tcBorders>
              <w:top w:val="nil"/>
              <w:left w:val="nil"/>
              <w:bottom w:val="single" w:sz="6" w:space="0" w:color="000000"/>
              <w:right w:val="single" w:sz="6" w:space="0" w:color="000000"/>
            </w:tcBorders>
            <w:tcMar>
              <w:top w:w="0" w:type="dxa"/>
              <w:left w:w="100" w:type="dxa"/>
              <w:bottom w:w="0" w:type="dxa"/>
              <w:right w:w="100" w:type="dxa"/>
            </w:tcMar>
          </w:tcPr>
          <w:p w14:paraId="29207AD5"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 xml:space="preserve"> </w:t>
            </w:r>
          </w:p>
        </w:tc>
        <w:tc>
          <w:tcPr>
            <w:tcW w:w="1130" w:type="pct"/>
            <w:tcBorders>
              <w:top w:val="nil"/>
              <w:left w:val="nil"/>
              <w:bottom w:val="single" w:sz="6" w:space="0" w:color="000000"/>
              <w:right w:val="single" w:sz="6" w:space="0" w:color="000000"/>
            </w:tcBorders>
            <w:tcMar>
              <w:top w:w="0" w:type="dxa"/>
              <w:left w:w="100" w:type="dxa"/>
              <w:bottom w:w="0" w:type="dxa"/>
              <w:right w:w="100" w:type="dxa"/>
            </w:tcMar>
          </w:tcPr>
          <w:p w14:paraId="5E1516C4"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 xml:space="preserve"> </w:t>
            </w:r>
          </w:p>
        </w:tc>
        <w:tc>
          <w:tcPr>
            <w:tcW w:w="1130" w:type="pct"/>
            <w:tcBorders>
              <w:top w:val="nil"/>
              <w:left w:val="nil"/>
              <w:bottom w:val="single" w:sz="6" w:space="0" w:color="000000"/>
              <w:right w:val="single" w:sz="6" w:space="0" w:color="000000"/>
            </w:tcBorders>
            <w:tcMar>
              <w:top w:w="0" w:type="dxa"/>
              <w:left w:w="100" w:type="dxa"/>
              <w:bottom w:w="0" w:type="dxa"/>
              <w:right w:w="100" w:type="dxa"/>
            </w:tcMar>
          </w:tcPr>
          <w:p w14:paraId="6A1751CA"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.637</w:t>
            </w:r>
          </w:p>
        </w:tc>
      </w:tr>
      <w:tr w:rsidR="00A14608" w:rsidRPr="007364BD" w14:paraId="65774F76" w14:textId="77777777" w:rsidTr="00A253EC">
        <w:trPr>
          <w:trHeight w:val="450"/>
        </w:trPr>
        <w:tc>
          <w:tcPr>
            <w:tcW w:w="1609" w:type="pc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6188E7A"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IEA1</w:t>
            </w:r>
          </w:p>
        </w:tc>
        <w:tc>
          <w:tcPr>
            <w:tcW w:w="1130" w:type="pct"/>
            <w:tcBorders>
              <w:top w:val="nil"/>
              <w:left w:val="nil"/>
              <w:bottom w:val="single" w:sz="6" w:space="0" w:color="000000"/>
              <w:right w:val="single" w:sz="6" w:space="0" w:color="000000"/>
            </w:tcBorders>
            <w:tcMar>
              <w:top w:w="0" w:type="dxa"/>
              <w:left w:w="100" w:type="dxa"/>
              <w:bottom w:w="0" w:type="dxa"/>
              <w:right w:w="100" w:type="dxa"/>
            </w:tcMar>
          </w:tcPr>
          <w:p w14:paraId="071EBF35"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.698</w:t>
            </w:r>
          </w:p>
        </w:tc>
        <w:tc>
          <w:tcPr>
            <w:tcW w:w="1130" w:type="pct"/>
            <w:tcBorders>
              <w:top w:val="nil"/>
              <w:left w:val="nil"/>
              <w:bottom w:val="single" w:sz="6" w:space="0" w:color="000000"/>
              <w:right w:val="single" w:sz="6" w:space="0" w:color="000000"/>
            </w:tcBorders>
            <w:tcMar>
              <w:top w:w="0" w:type="dxa"/>
              <w:left w:w="100" w:type="dxa"/>
              <w:bottom w:w="0" w:type="dxa"/>
              <w:right w:w="100" w:type="dxa"/>
            </w:tcMar>
          </w:tcPr>
          <w:p w14:paraId="419A0269"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 xml:space="preserve"> </w:t>
            </w:r>
          </w:p>
        </w:tc>
        <w:tc>
          <w:tcPr>
            <w:tcW w:w="1130" w:type="pct"/>
            <w:tcBorders>
              <w:top w:val="nil"/>
              <w:left w:val="nil"/>
              <w:bottom w:val="single" w:sz="6" w:space="0" w:color="000000"/>
              <w:right w:val="single" w:sz="6" w:space="0" w:color="000000"/>
            </w:tcBorders>
            <w:tcMar>
              <w:top w:w="0" w:type="dxa"/>
              <w:left w:w="100" w:type="dxa"/>
              <w:bottom w:w="0" w:type="dxa"/>
              <w:right w:w="100" w:type="dxa"/>
            </w:tcMar>
          </w:tcPr>
          <w:p w14:paraId="4C5B4BCA"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 xml:space="preserve"> </w:t>
            </w:r>
          </w:p>
        </w:tc>
      </w:tr>
      <w:tr w:rsidR="00A14608" w:rsidRPr="007364BD" w14:paraId="431C8F35" w14:textId="77777777" w:rsidTr="00A253EC">
        <w:trPr>
          <w:trHeight w:val="450"/>
        </w:trPr>
        <w:tc>
          <w:tcPr>
            <w:tcW w:w="1609" w:type="pc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D303BDC"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IEA2</w:t>
            </w:r>
          </w:p>
        </w:tc>
        <w:tc>
          <w:tcPr>
            <w:tcW w:w="1130" w:type="pct"/>
            <w:tcBorders>
              <w:top w:val="nil"/>
              <w:left w:val="nil"/>
              <w:bottom w:val="single" w:sz="6" w:space="0" w:color="000000"/>
              <w:right w:val="single" w:sz="6" w:space="0" w:color="000000"/>
            </w:tcBorders>
            <w:tcMar>
              <w:top w:w="0" w:type="dxa"/>
              <w:left w:w="100" w:type="dxa"/>
              <w:bottom w:w="0" w:type="dxa"/>
              <w:right w:w="100" w:type="dxa"/>
            </w:tcMar>
          </w:tcPr>
          <w:p w14:paraId="2E75202B"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.701</w:t>
            </w:r>
          </w:p>
        </w:tc>
        <w:tc>
          <w:tcPr>
            <w:tcW w:w="1130" w:type="pct"/>
            <w:tcBorders>
              <w:top w:val="nil"/>
              <w:left w:val="nil"/>
              <w:bottom w:val="single" w:sz="6" w:space="0" w:color="000000"/>
              <w:right w:val="single" w:sz="6" w:space="0" w:color="000000"/>
            </w:tcBorders>
            <w:tcMar>
              <w:top w:w="0" w:type="dxa"/>
              <w:left w:w="100" w:type="dxa"/>
              <w:bottom w:w="0" w:type="dxa"/>
              <w:right w:w="100" w:type="dxa"/>
            </w:tcMar>
          </w:tcPr>
          <w:p w14:paraId="5E5FE2C4"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 xml:space="preserve"> </w:t>
            </w:r>
          </w:p>
        </w:tc>
        <w:tc>
          <w:tcPr>
            <w:tcW w:w="1130" w:type="pct"/>
            <w:tcBorders>
              <w:top w:val="nil"/>
              <w:left w:val="nil"/>
              <w:bottom w:val="single" w:sz="6" w:space="0" w:color="000000"/>
              <w:right w:val="single" w:sz="6" w:space="0" w:color="000000"/>
            </w:tcBorders>
            <w:tcMar>
              <w:top w:w="0" w:type="dxa"/>
              <w:left w:w="100" w:type="dxa"/>
              <w:bottom w:w="0" w:type="dxa"/>
              <w:right w:w="100" w:type="dxa"/>
            </w:tcMar>
          </w:tcPr>
          <w:p w14:paraId="1F8B6E8B"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 xml:space="preserve"> </w:t>
            </w:r>
          </w:p>
        </w:tc>
      </w:tr>
      <w:tr w:rsidR="00A14608" w:rsidRPr="007364BD" w14:paraId="4F634CBF" w14:textId="77777777" w:rsidTr="00A253EC">
        <w:trPr>
          <w:trHeight w:val="450"/>
        </w:trPr>
        <w:tc>
          <w:tcPr>
            <w:tcW w:w="1609" w:type="pc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9AEAD62"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IEA3</w:t>
            </w:r>
          </w:p>
        </w:tc>
        <w:tc>
          <w:tcPr>
            <w:tcW w:w="1130" w:type="pct"/>
            <w:tcBorders>
              <w:top w:val="nil"/>
              <w:left w:val="nil"/>
              <w:bottom w:val="single" w:sz="6" w:space="0" w:color="000000"/>
              <w:right w:val="single" w:sz="6" w:space="0" w:color="000000"/>
            </w:tcBorders>
            <w:tcMar>
              <w:top w:w="0" w:type="dxa"/>
              <w:left w:w="100" w:type="dxa"/>
              <w:bottom w:w="0" w:type="dxa"/>
              <w:right w:w="100" w:type="dxa"/>
            </w:tcMar>
          </w:tcPr>
          <w:p w14:paraId="7D3E6D3A"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.515</w:t>
            </w:r>
          </w:p>
        </w:tc>
        <w:tc>
          <w:tcPr>
            <w:tcW w:w="1130" w:type="pct"/>
            <w:tcBorders>
              <w:top w:val="nil"/>
              <w:left w:val="nil"/>
              <w:bottom w:val="single" w:sz="6" w:space="0" w:color="000000"/>
              <w:right w:val="single" w:sz="6" w:space="0" w:color="000000"/>
            </w:tcBorders>
            <w:tcMar>
              <w:top w:w="0" w:type="dxa"/>
              <w:left w:w="100" w:type="dxa"/>
              <w:bottom w:w="0" w:type="dxa"/>
              <w:right w:w="100" w:type="dxa"/>
            </w:tcMar>
          </w:tcPr>
          <w:p w14:paraId="5EF14819"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 xml:space="preserve"> </w:t>
            </w:r>
          </w:p>
        </w:tc>
        <w:tc>
          <w:tcPr>
            <w:tcW w:w="1130" w:type="pct"/>
            <w:tcBorders>
              <w:top w:val="nil"/>
              <w:left w:val="nil"/>
              <w:bottom w:val="single" w:sz="6" w:space="0" w:color="000000"/>
              <w:right w:val="single" w:sz="6" w:space="0" w:color="000000"/>
            </w:tcBorders>
            <w:tcMar>
              <w:top w:w="0" w:type="dxa"/>
              <w:left w:w="100" w:type="dxa"/>
              <w:bottom w:w="0" w:type="dxa"/>
              <w:right w:w="100" w:type="dxa"/>
            </w:tcMar>
          </w:tcPr>
          <w:p w14:paraId="6967D500"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 xml:space="preserve"> </w:t>
            </w:r>
          </w:p>
        </w:tc>
      </w:tr>
      <w:tr w:rsidR="00A14608" w:rsidRPr="007364BD" w14:paraId="680CA88E" w14:textId="77777777" w:rsidTr="00A253EC">
        <w:trPr>
          <w:trHeight w:val="450"/>
        </w:trPr>
        <w:tc>
          <w:tcPr>
            <w:tcW w:w="1609" w:type="pc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F841CDF"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IASS3</w:t>
            </w:r>
          </w:p>
        </w:tc>
        <w:tc>
          <w:tcPr>
            <w:tcW w:w="1130" w:type="pct"/>
            <w:tcBorders>
              <w:top w:val="nil"/>
              <w:left w:val="nil"/>
              <w:bottom w:val="single" w:sz="6" w:space="0" w:color="000000"/>
              <w:right w:val="single" w:sz="6" w:space="0" w:color="000000"/>
            </w:tcBorders>
            <w:tcMar>
              <w:top w:w="0" w:type="dxa"/>
              <w:left w:w="100" w:type="dxa"/>
              <w:bottom w:w="0" w:type="dxa"/>
              <w:right w:w="100" w:type="dxa"/>
            </w:tcMar>
          </w:tcPr>
          <w:p w14:paraId="7A54568C"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 xml:space="preserve"> </w:t>
            </w:r>
          </w:p>
        </w:tc>
        <w:tc>
          <w:tcPr>
            <w:tcW w:w="1130" w:type="pct"/>
            <w:tcBorders>
              <w:top w:val="nil"/>
              <w:left w:val="nil"/>
              <w:bottom w:val="single" w:sz="6" w:space="0" w:color="000000"/>
              <w:right w:val="single" w:sz="6" w:space="0" w:color="000000"/>
            </w:tcBorders>
            <w:tcMar>
              <w:top w:w="0" w:type="dxa"/>
              <w:left w:w="100" w:type="dxa"/>
              <w:bottom w:w="0" w:type="dxa"/>
              <w:right w:w="100" w:type="dxa"/>
            </w:tcMar>
          </w:tcPr>
          <w:p w14:paraId="10893A44"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.642</w:t>
            </w:r>
          </w:p>
        </w:tc>
        <w:tc>
          <w:tcPr>
            <w:tcW w:w="1130" w:type="pct"/>
            <w:tcBorders>
              <w:top w:val="nil"/>
              <w:left w:val="nil"/>
              <w:bottom w:val="single" w:sz="6" w:space="0" w:color="000000"/>
              <w:right w:val="single" w:sz="6" w:space="0" w:color="000000"/>
            </w:tcBorders>
            <w:tcMar>
              <w:top w:w="0" w:type="dxa"/>
              <w:left w:w="100" w:type="dxa"/>
              <w:bottom w:w="0" w:type="dxa"/>
              <w:right w:w="100" w:type="dxa"/>
            </w:tcMar>
          </w:tcPr>
          <w:p w14:paraId="7B8CEA7D"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 xml:space="preserve"> </w:t>
            </w:r>
          </w:p>
        </w:tc>
      </w:tr>
      <w:tr w:rsidR="00A14608" w:rsidRPr="007364BD" w14:paraId="5F21E940" w14:textId="77777777" w:rsidTr="00A253EC">
        <w:trPr>
          <w:trHeight w:val="450"/>
        </w:trPr>
        <w:tc>
          <w:tcPr>
            <w:tcW w:w="1609" w:type="pc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8AB4632"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IASS4</w:t>
            </w:r>
          </w:p>
        </w:tc>
        <w:tc>
          <w:tcPr>
            <w:tcW w:w="1130" w:type="pct"/>
            <w:tcBorders>
              <w:top w:val="nil"/>
              <w:left w:val="nil"/>
              <w:bottom w:val="single" w:sz="6" w:space="0" w:color="000000"/>
              <w:right w:val="single" w:sz="6" w:space="0" w:color="000000"/>
            </w:tcBorders>
            <w:tcMar>
              <w:top w:w="0" w:type="dxa"/>
              <w:left w:w="100" w:type="dxa"/>
              <w:bottom w:w="0" w:type="dxa"/>
              <w:right w:w="100" w:type="dxa"/>
            </w:tcMar>
          </w:tcPr>
          <w:p w14:paraId="6DB0DA9B"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 xml:space="preserve"> </w:t>
            </w:r>
          </w:p>
        </w:tc>
        <w:tc>
          <w:tcPr>
            <w:tcW w:w="1130" w:type="pct"/>
            <w:tcBorders>
              <w:top w:val="nil"/>
              <w:left w:val="nil"/>
              <w:bottom w:val="single" w:sz="6" w:space="0" w:color="000000"/>
              <w:right w:val="single" w:sz="6" w:space="0" w:color="000000"/>
            </w:tcBorders>
            <w:tcMar>
              <w:top w:w="0" w:type="dxa"/>
              <w:left w:w="100" w:type="dxa"/>
              <w:bottom w:w="0" w:type="dxa"/>
              <w:right w:w="100" w:type="dxa"/>
            </w:tcMar>
          </w:tcPr>
          <w:p w14:paraId="34BF6279"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.728</w:t>
            </w:r>
          </w:p>
        </w:tc>
        <w:tc>
          <w:tcPr>
            <w:tcW w:w="1130" w:type="pct"/>
            <w:tcBorders>
              <w:top w:val="nil"/>
              <w:left w:val="nil"/>
              <w:bottom w:val="single" w:sz="6" w:space="0" w:color="000000"/>
              <w:right w:val="single" w:sz="6" w:space="0" w:color="000000"/>
            </w:tcBorders>
            <w:tcMar>
              <w:top w:w="0" w:type="dxa"/>
              <w:left w:w="100" w:type="dxa"/>
              <w:bottom w:w="0" w:type="dxa"/>
              <w:right w:w="100" w:type="dxa"/>
            </w:tcMar>
          </w:tcPr>
          <w:p w14:paraId="2D3180AB"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 xml:space="preserve"> </w:t>
            </w:r>
          </w:p>
        </w:tc>
      </w:tr>
      <w:tr w:rsidR="00A14608" w:rsidRPr="007364BD" w14:paraId="2D80BD9D" w14:textId="77777777" w:rsidTr="00A253EC">
        <w:trPr>
          <w:trHeight w:val="450"/>
        </w:trPr>
        <w:tc>
          <w:tcPr>
            <w:tcW w:w="1609" w:type="pc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2FE20E1"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IASS5</w:t>
            </w:r>
          </w:p>
        </w:tc>
        <w:tc>
          <w:tcPr>
            <w:tcW w:w="1130" w:type="pct"/>
            <w:tcBorders>
              <w:top w:val="nil"/>
              <w:left w:val="nil"/>
              <w:bottom w:val="single" w:sz="6" w:space="0" w:color="000000"/>
              <w:right w:val="single" w:sz="6" w:space="0" w:color="000000"/>
            </w:tcBorders>
            <w:tcMar>
              <w:top w:w="0" w:type="dxa"/>
              <w:left w:w="100" w:type="dxa"/>
              <w:bottom w:w="0" w:type="dxa"/>
              <w:right w:w="100" w:type="dxa"/>
            </w:tcMar>
          </w:tcPr>
          <w:p w14:paraId="5A402F67"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 xml:space="preserve"> </w:t>
            </w:r>
          </w:p>
        </w:tc>
        <w:tc>
          <w:tcPr>
            <w:tcW w:w="1130" w:type="pct"/>
            <w:tcBorders>
              <w:top w:val="nil"/>
              <w:left w:val="nil"/>
              <w:bottom w:val="single" w:sz="6" w:space="0" w:color="000000"/>
              <w:right w:val="single" w:sz="6" w:space="0" w:color="000000"/>
            </w:tcBorders>
            <w:tcMar>
              <w:top w:w="0" w:type="dxa"/>
              <w:left w:w="100" w:type="dxa"/>
              <w:bottom w:w="0" w:type="dxa"/>
              <w:right w:w="100" w:type="dxa"/>
            </w:tcMar>
          </w:tcPr>
          <w:p w14:paraId="6B677030"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.592</w:t>
            </w:r>
          </w:p>
        </w:tc>
        <w:tc>
          <w:tcPr>
            <w:tcW w:w="1130" w:type="pct"/>
            <w:tcBorders>
              <w:top w:val="nil"/>
              <w:left w:val="nil"/>
              <w:bottom w:val="single" w:sz="6" w:space="0" w:color="000000"/>
              <w:right w:val="single" w:sz="6" w:space="0" w:color="000000"/>
            </w:tcBorders>
            <w:tcMar>
              <w:top w:w="0" w:type="dxa"/>
              <w:left w:w="100" w:type="dxa"/>
              <w:bottom w:w="0" w:type="dxa"/>
              <w:right w:w="100" w:type="dxa"/>
            </w:tcMar>
          </w:tcPr>
          <w:p w14:paraId="7A47BF3F"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 xml:space="preserve"> </w:t>
            </w:r>
          </w:p>
        </w:tc>
      </w:tr>
      <w:tr w:rsidR="00A14608" w:rsidRPr="007364BD" w14:paraId="5330C51C" w14:textId="77777777" w:rsidTr="00A253EC">
        <w:trPr>
          <w:trHeight w:val="1515"/>
        </w:trPr>
        <w:tc>
          <w:tcPr>
            <w:tcW w:w="5000" w:type="pct"/>
            <w:gridSpan w:val="4"/>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EF6EEE6"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Extraction Method: Principal Component Analysis.</w:t>
            </w:r>
          </w:p>
          <w:p w14:paraId="2237D69B"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 xml:space="preserve"> Rotation Method: Varimax with Kaiser Normalization.</w:t>
            </w:r>
          </w:p>
        </w:tc>
      </w:tr>
      <w:tr w:rsidR="00A14608" w:rsidRPr="007364BD" w14:paraId="46CDA1BC" w14:textId="77777777" w:rsidTr="00A253EC">
        <w:trPr>
          <w:trHeight w:val="450"/>
        </w:trPr>
        <w:tc>
          <w:tcPr>
            <w:tcW w:w="5000" w:type="pct"/>
            <w:gridSpan w:val="4"/>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106A3FB"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a. Rotation converged in 5 iterations.</w:t>
            </w:r>
          </w:p>
        </w:tc>
      </w:tr>
    </w:tbl>
    <w:p w14:paraId="59C2830F" w14:textId="77777777" w:rsidR="00A14608" w:rsidRPr="007364BD" w:rsidRDefault="00000000" w:rsidP="004E1F91">
      <w:pPr>
        <w:spacing w:line="276" w:lineRule="auto"/>
        <w:rPr>
          <w:rFonts w:ascii="Arial" w:eastAsia="Times New Roman" w:hAnsi="Arial"/>
          <w:b/>
          <w:bCs/>
          <w:color w:val="000000" w:themeColor="text1"/>
          <w:sz w:val="20"/>
          <w:szCs w:val="20"/>
        </w:rPr>
      </w:pPr>
      <w:r w:rsidRPr="007364BD">
        <w:rPr>
          <w:rFonts w:ascii="Arial" w:eastAsia="Times New Roman" w:hAnsi="Arial"/>
          <w:b/>
          <w:bCs/>
          <w:color w:val="000000" w:themeColor="text1"/>
          <w:sz w:val="20"/>
          <w:szCs w:val="20"/>
        </w:rPr>
        <w:lastRenderedPageBreak/>
        <w:t>Discriminant validity</w:t>
      </w:r>
    </w:p>
    <w:tbl>
      <w:tblPr>
        <w:tblStyle w:val="Table6"/>
        <w:tblW w:w="5000" w:type="pct"/>
        <w:tblInd w:w="0" w:type="dxa"/>
        <w:tblBorders>
          <w:top w:val="nil"/>
          <w:left w:val="nil"/>
          <w:bottom w:val="nil"/>
          <w:right w:val="nil"/>
          <w:insideH w:val="nil"/>
          <w:insideV w:val="nil"/>
        </w:tblBorders>
        <w:tblLook w:val="0600" w:firstRow="0" w:lastRow="0" w:firstColumn="0" w:lastColumn="0" w:noHBand="1" w:noVBand="1"/>
      </w:tblPr>
      <w:tblGrid>
        <w:gridCol w:w="3324"/>
        <w:gridCol w:w="3323"/>
        <w:gridCol w:w="2697"/>
      </w:tblGrid>
      <w:tr w:rsidR="00A14608" w:rsidRPr="007364BD" w14:paraId="62239BE7" w14:textId="77777777" w:rsidTr="00A253EC">
        <w:trPr>
          <w:trHeight w:val="840"/>
        </w:trPr>
        <w:tc>
          <w:tcPr>
            <w:tcW w:w="177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14:paraId="162AC785" w14:textId="77777777" w:rsidR="00A14608" w:rsidRPr="007364BD" w:rsidRDefault="00A14608" w:rsidP="004E1F91">
            <w:pPr>
              <w:spacing w:line="276" w:lineRule="auto"/>
              <w:rPr>
                <w:rFonts w:ascii="Arial" w:eastAsia="Times New Roman" w:hAnsi="Arial"/>
                <w:color w:val="000000" w:themeColor="text1"/>
                <w:sz w:val="20"/>
                <w:szCs w:val="20"/>
              </w:rPr>
            </w:pPr>
          </w:p>
        </w:tc>
        <w:tc>
          <w:tcPr>
            <w:tcW w:w="1778" w:type="pct"/>
            <w:tcBorders>
              <w:top w:val="single" w:sz="6" w:space="0" w:color="000000"/>
              <w:left w:val="nil"/>
              <w:bottom w:val="single" w:sz="6" w:space="0" w:color="000000"/>
              <w:right w:val="single" w:sz="6" w:space="0" w:color="000000"/>
            </w:tcBorders>
            <w:tcMar>
              <w:top w:w="0" w:type="dxa"/>
              <w:left w:w="120" w:type="dxa"/>
              <w:bottom w:w="0" w:type="dxa"/>
              <w:right w:w="120" w:type="dxa"/>
            </w:tcMar>
          </w:tcPr>
          <w:p w14:paraId="0234F078" w14:textId="77777777" w:rsidR="00A14608" w:rsidRPr="007364BD" w:rsidRDefault="00000000" w:rsidP="004E1F91">
            <w:pPr>
              <w:spacing w:line="276" w:lineRule="auto"/>
              <w:rPr>
                <w:rFonts w:ascii="Arial" w:eastAsia="Times New Roman" w:hAnsi="Arial"/>
                <w:b/>
                <w:bCs/>
                <w:color w:val="000000" w:themeColor="text1"/>
                <w:sz w:val="20"/>
                <w:szCs w:val="20"/>
              </w:rPr>
            </w:pPr>
            <w:r w:rsidRPr="007364BD">
              <w:rPr>
                <w:rFonts w:ascii="Arial" w:eastAsia="Times New Roman" w:hAnsi="Arial"/>
                <w:b/>
                <w:bCs/>
                <w:color w:val="000000" w:themeColor="text1"/>
                <w:sz w:val="20"/>
                <w:szCs w:val="20"/>
              </w:rPr>
              <w:t>Investment risk and behavioural concern</w:t>
            </w:r>
          </w:p>
        </w:tc>
        <w:tc>
          <w:tcPr>
            <w:tcW w:w="1443" w:type="pct"/>
            <w:tcBorders>
              <w:top w:val="single" w:sz="6" w:space="0" w:color="000000"/>
              <w:left w:val="nil"/>
              <w:bottom w:val="single" w:sz="6" w:space="0" w:color="000000"/>
              <w:right w:val="single" w:sz="6" w:space="0" w:color="000000"/>
            </w:tcBorders>
            <w:tcMar>
              <w:top w:w="0" w:type="dxa"/>
              <w:left w:w="120" w:type="dxa"/>
              <w:bottom w:w="0" w:type="dxa"/>
              <w:right w:w="120" w:type="dxa"/>
            </w:tcMar>
          </w:tcPr>
          <w:p w14:paraId="43F9D315" w14:textId="77777777" w:rsidR="00A14608" w:rsidRPr="007364BD" w:rsidRDefault="00000000" w:rsidP="004E1F91">
            <w:pPr>
              <w:spacing w:line="276" w:lineRule="auto"/>
              <w:rPr>
                <w:rFonts w:ascii="Arial" w:eastAsia="Times New Roman" w:hAnsi="Arial"/>
                <w:b/>
                <w:bCs/>
                <w:color w:val="000000" w:themeColor="text1"/>
                <w:sz w:val="20"/>
                <w:szCs w:val="20"/>
              </w:rPr>
            </w:pPr>
            <w:r w:rsidRPr="007364BD">
              <w:rPr>
                <w:rFonts w:ascii="Arial" w:eastAsia="Times New Roman" w:hAnsi="Arial"/>
                <w:b/>
                <w:bCs/>
                <w:color w:val="000000" w:themeColor="text1"/>
                <w:sz w:val="20"/>
                <w:szCs w:val="20"/>
              </w:rPr>
              <w:t>Investor account support services</w:t>
            </w:r>
          </w:p>
        </w:tc>
      </w:tr>
      <w:tr w:rsidR="00A14608" w:rsidRPr="007364BD" w14:paraId="30570DE4" w14:textId="77777777" w:rsidTr="00A253EC">
        <w:trPr>
          <w:trHeight w:val="840"/>
        </w:trPr>
        <w:tc>
          <w:tcPr>
            <w:tcW w:w="1779" w:type="pct"/>
            <w:tcBorders>
              <w:top w:val="nil"/>
              <w:left w:val="single" w:sz="6" w:space="0" w:color="000000"/>
              <w:bottom w:val="single" w:sz="6" w:space="0" w:color="000000"/>
              <w:right w:val="single" w:sz="6" w:space="0" w:color="000000"/>
            </w:tcBorders>
            <w:tcMar>
              <w:top w:w="0" w:type="dxa"/>
              <w:left w:w="120" w:type="dxa"/>
              <w:bottom w:w="0" w:type="dxa"/>
              <w:right w:w="120" w:type="dxa"/>
            </w:tcMar>
          </w:tcPr>
          <w:p w14:paraId="0B20E482" w14:textId="77777777" w:rsidR="00A14608" w:rsidRPr="007364BD" w:rsidRDefault="00000000" w:rsidP="004E1F91">
            <w:pPr>
              <w:spacing w:line="276" w:lineRule="auto"/>
              <w:rPr>
                <w:rFonts w:ascii="Arial" w:eastAsia="Times New Roman" w:hAnsi="Arial"/>
                <w:b/>
                <w:bCs/>
                <w:color w:val="000000" w:themeColor="text1"/>
                <w:sz w:val="20"/>
                <w:szCs w:val="20"/>
              </w:rPr>
            </w:pPr>
            <w:r w:rsidRPr="007364BD">
              <w:rPr>
                <w:rFonts w:ascii="Arial" w:eastAsia="Times New Roman" w:hAnsi="Arial"/>
                <w:b/>
                <w:bCs/>
                <w:color w:val="000000" w:themeColor="text1"/>
                <w:sz w:val="20"/>
                <w:szCs w:val="20"/>
              </w:rPr>
              <w:t>Investment risk and behavioural concern</w:t>
            </w:r>
          </w:p>
        </w:tc>
        <w:tc>
          <w:tcPr>
            <w:tcW w:w="1778" w:type="pct"/>
            <w:tcBorders>
              <w:top w:val="nil"/>
              <w:left w:val="nil"/>
              <w:bottom w:val="single" w:sz="6" w:space="0" w:color="000000"/>
              <w:right w:val="single" w:sz="6" w:space="0" w:color="000000"/>
            </w:tcBorders>
            <w:tcMar>
              <w:top w:w="0" w:type="dxa"/>
              <w:left w:w="120" w:type="dxa"/>
              <w:bottom w:w="0" w:type="dxa"/>
              <w:right w:w="120" w:type="dxa"/>
            </w:tcMar>
          </w:tcPr>
          <w:p w14:paraId="07EAFECF" w14:textId="77777777" w:rsidR="00A14608" w:rsidRPr="007364BD" w:rsidRDefault="00A14608" w:rsidP="004E1F91">
            <w:pPr>
              <w:spacing w:line="276" w:lineRule="auto"/>
              <w:rPr>
                <w:rFonts w:ascii="Arial" w:eastAsia="Times New Roman" w:hAnsi="Arial"/>
                <w:color w:val="000000" w:themeColor="text1"/>
                <w:sz w:val="20"/>
                <w:szCs w:val="20"/>
              </w:rPr>
            </w:pPr>
          </w:p>
        </w:tc>
        <w:tc>
          <w:tcPr>
            <w:tcW w:w="1443" w:type="pct"/>
            <w:tcBorders>
              <w:top w:val="nil"/>
              <w:left w:val="nil"/>
              <w:bottom w:val="single" w:sz="6" w:space="0" w:color="000000"/>
              <w:right w:val="single" w:sz="6" w:space="0" w:color="000000"/>
            </w:tcBorders>
            <w:tcMar>
              <w:top w:w="0" w:type="dxa"/>
              <w:left w:w="120" w:type="dxa"/>
              <w:bottom w:w="0" w:type="dxa"/>
              <w:right w:w="120" w:type="dxa"/>
            </w:tcMar>
          </w:tcPr>
          <w:p w14:paraId="5D3E0BC9" w14:textId="77777777" w:rsidR="00A14608" w:rsidRPr="007364BD" w:rsidRDefault="00A14608" w:rsidP="004E1F91">
            <w:pPr>
              <w:spacing w:line="276" w:lineRule="auto"/>
              <w:rPr>
                <w:rFonts w:ascii="Arial" w:eastAsia="Times New Roman" w:hAnsi="Arial"/>
                <w:color w:val="000000" w:themeColor="text1"/>
                <w:sz w:val="20"/>
                <w:szCs w:val="20"/>
              </w:rPr>
            </w:pPr>
          </w:p>
        </w:tc>
      </w:tr>
      <w:tr w:rsidR="00A14608" w:rsidRPr="007364BD" w14:paraId="3B4583CB" w14:textId="77777777" w:rsidTr="00A253EC">
        <w:trPr>
          <w:trHeight w:val="840"/>
        </w:trPr>
        <w:tc>
          <w:tcPr>
            <w:tcW w:w="1779" w:type="pct"/>
            <w:tcBorders>
              <w:top w:val="nil"/>
              <w:left w:val="single" w:sz="6" w:space="0" w:color="000000"/>
              <w:bottom w:val="single" w:sz="6" w:space="0" w:color="000000"/>
              <w:right w:val="single" w:sz="6" w:space="0" w:color="000000"/>
            </w:tcBorders>
            <w:tcMar>
              <w:top w:w="0" w:type="dxa"/>
              <w:left w:w="120" w:type="dxa"/>
              <w:bottom w:w="0" w:type="dxa"/>
              <w:right w:w="120" w:type="dxa"/>
            </w:tcMar>
          </w:tcPr>
          <w:p w14:paraId="16BC9E93" w14:textId="77777777" w:rsidR="00A14608" w:rsidRPr="007364BD" w:rsidRDefault="00000000" w:rsidP="004E1F91">
            <w:pPr>
              <w:spacing w:line="276" w:lineRule="auto"/>
              <w:rPr>
                <w:rFonts w:ascii="Arial" w:eastAsia="Times New Roman" w:hAnsi="Arial"/>
                <w:b/>
                <w:bCs/>
                <w:color w:val="000000" w:themeColor="text1"/>
                <w:sz w:val="20"/>
                <w:szCs w:val="20"/>
              </w:rPr>
            </w:pPr>
            <w:r w:rsidRPr="007364BD">
              <w:rPr>
                <w:rFonts w:ascii="Arial" w:eastAsia="Times New Roman" w:hAnsi="Arial"/>
                <w:b/>
                <w:bCs/>
                <w:color w:val="000000" w:themeColor="text1"/>
                <w:sz w:val="20"/>
                <w:szCs w:val="20"/>
              </w:rPr>
              <w:t>Investor account support services</w:t>
            </w:r>
          </w:p>
        </w:tc>
        <w:tc>
          <w:tcPr>
            <w:tcW w:w="1778" w:type="pct"/>
            <w:tcBorders>
              <w:top w:val="nil"/>
              <w:left w:val="nil"/>
              <w:bottom w:val="single" w:sz="6" w:space="0" w:color="000000"/>
              <w:right w:val="single" w:sz="6" w:space="0" w:color="000000"/>
            </w:tcBorders>
            <w:tcMar>
              <w:top w:w="0" w:type="dxa"/>
              <w:left w:w="120" w:type="dxa"/>
              <w:bottom w:w="0" w:type="dxa"/>
              <w:right w:w="120" w:type="dxa"/>
            </w:tcMar>
          </w:tcPr>
          <w:p w14:paraId="5D1C3076"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0.048</w:t>
            </w:r>
          </w:p>
        </w:tc>
        <w:tc>
          <w:tcPr>
            <w:tcW w:w="1443" w:type="pct"/>
            <w:tcBorders>
              <w:top w:val="nil"/>
              <w:left w:val="nil"/>
              <w:bottom w:val="single" w:sz="6" w:space="0" w:color="000000"/>
              <w:right w:val="single" w:sz="6" w:space="0" w:color="000000"/>
            </w:tcBorders>
            <w:tcMar>
              <w:top w:w="0" w:type="dxa"/>
              <w:left w:w="120" w:type="dxa"/>
              <w:bottom w:w="0" w:type="dxa"/>
              <w:right w:w="120" w:type="dxa"/>
            </w:tcMar>
          </w:tcPr>
          <w:p w14:paraId="1D7C0E83" w14:textId="77777777" w:rsidR="00A14608" w:rsidRPr="007364BD" w:rsidRDefault="00A14608" w:rsidP="004E1F91">
            <w:pPr>
              <w:spacing w:line="276" w:lineRule="auto"/>
              <w:rPr>
                <w:rFonts w:ascii="Arial" w:eastAsia="Times New Roman" w:hAnsi="Arial"/>
                <w:color w:val="000000" w:themeColor="text1"/>
                <w:sz w:val="20"/>
                <w:szCs w:val="20"/>
              </w:rPr>
            </w:pPr>
          </w:p>
        </w:tc>
      </w:tr>
      <w:tr w:rsidR="00A14608" w:rsidRPr="007364BD" w14:paraId="000D0E4C" w14:textId="77777777" w:rsidTr="00A253EC">
        <w:trPr>
          <w:trHeight w:val="840"/>
        </w:trPr>
        <w:tc>
          <w:tcPr>
            <w:tcW w:w="1779" w:type="pct"/>
            <w:tcBorders>
              <w:top w:val="nil"/>
              <w:left w:val="single" w:sz="6" w:space="0" w:color="000000"/>
              <w:bottom w:val="single" w:sz="6" w:space="0" w:color="000000"/>
              <w:right w:val="single" w:sz="6" w:space="0" w:color="000000"/>
            </w:tcBorders>
            <w:tcMar>
              <w:top w:w="0" w:type="dxa"/>
              <w:left w:w="120" w:type="dxa"/>
              <w:bottom w:w="0" w:type="dxa"/>
              <w:right w:w="120" w:type="dxa"/>
            </w:tcMar>
          </w:tcPr>
          <w:p w14:paraId="74DDD22B" w14:textId="77777777" w:rsidR="00A14608" w:rsidRPr="007364BD" w:rsidRDefault="00000000" w:rsidP="004E1F91">
            <w:pPr>
              <w:spacing w:line="276" w:lineRule="auto"/>
              <w:rPr>
                <w:rFonts w:ascii="Arial" w:eastAsia="Times New Roman" w:hAnsi="Arial"/>
                <w:b/>
                <w:bCs/>
                <w:color w:val="000000" w:themeColor="text1"/>
                <w:sz w:val="20"/>
                <w:szCs w:val="20"/>
              </w:rPr>
            </w:pPr>
            <w:r w:rsidRPr="007364BD">
              <w:rPr>
                <w:rFonts w:ascii="Arial" w:eastAsia="Times New Roman" w:hAnsi="Arial"/>
                <w:b/>
                <w:bCs/>
                <w:color w:val="000000" w:themeColor="text1"/>
                <w:sz w:val="20"/>
                <w:szCs w:val="20"/>
              </w:rPr>
              <w:t>Investor education and awareness</w:t>
            </w:r>
          </w:p>
        </w:tc>
        <w:tc>
          <w:tcPr>
            <w:tcW w:w="1778" w:type="pct"/>
            <w:tcBorders>
              <w:top w:val="nil"/>
              <w:left w:val="nil"/>
              <w:bottom w:val="single" w:sz="6" w:space="0" w:color="000000"/>
              <w:right w:val="single" w:sz="6" w:space="0" w:color="000000"/>
            </w:tcBorders>
            <w:tcMar>
              <w:top w:w="0" w:type="dxa"/>
              <w:left w:w="120" w:type="dxa"/>
              <w:bottom w:w="0" w:type="dxa"/>
              <w:right w:w="120" w:type="dxa"/>
            </w:tcMar>
          </w:tcPr>
          <w:p w14:paraId="7CD4AA23"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0.241</w:t>
            </w:r>
          </w:p>
        </w:tc>
        <w:tc>
          <w:tcPr>
            <w:tcW w:w="1443" w:type="pct"/>
            <w:tcBorders>
              <w:top w:val="nil"/>
              <w:left w:val="nil"/>
              <w:bottom w:val="single" w:sz="6" w:space="0" w:color="000000"/>
              <w:right w:val="single" w:sz="6" w:space="0" w:color="000000"/>
            </w:tcBorders>
            <w:tcMar>
              <w:top w:w="0" w:type="dxa"/>
              <w:left w:w="120" w:type="dxa"/>
              <w:bottom w:w="0" w:type="dxa"/>
              <w:right w:w="120" w:type="dxa"/>
            </w:tcMar>
          </w:tcPr>
          <w:p w14:paraId="058FFDED"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0.521</w:t>
            </w:r>
          </w:p>
        </w:tc>
      </w:tr>
    </w:tbl>
    <w:p w14:paraId="0EA8DAD1" w14:textId="77777777" w:rsidR="003B438C" w:rsidRDefault="003B438C" w:rsidP="004E1F91">
      <w:pPr>
        <w:spacing w:line="276" w:lineRule="auto"/>
        <w:ind w:firstLine="720"/>
        <w:rPr>
          <w:rFonts w:ascii="Arial" w:eastAsia="Times New Roman" w:hAnsi="Arial"/>
          <w:color w:val="000000" w:themeColor="text1"/>
          <w:sz w:val="20"/>
          <w:szCs w:val="20"/>
        </w:rPr>
        <w:sectPr w:rsidR="003B438C" w:rsidSect="007364BD">
          <w:type w:val="continuous"/>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pgNumType w:start="1"/>
          <w:cols w:space="720"/>
          <w:docGrid w:linePitch="326"/>
        </w:sectPr>
      </w:pPr>
    </w:p>
    <w:p w14:paraId="0FEA18A2" w14:textId="77777777" w:rsidR="00A14608" w:rsidRPr="007364BD" w:rsidRDefault="00000000" w:rsidP="004E1F91">
      <w:pPr>
        <w:spacing w:line="276" w:lineRule="auto"/>
        <w:ind w:firstLine="720"/>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The results of the analysis ended up with a clean three-factor structure with no dropped variables having high factor loading above 0.5. The constructs that were extracted were understood in the following way:</w:t>
      </w:r>
    </w:p>
    <w:p w14:paraId="22BFB9F9" w14:textId="77777777" w:rsidR="00A14608" w:rsidRPr="007364BD" w:rsidRDefault="00000000" w:rsidP="004E1F91">
      <w:pPr>
        <w:numPr>
          <w:ilvl w:val="0"/>
          <w:numId w:val="3"/>
        </w:num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Investor Education and Awareness - capturing variables based on financial knowledge, product awareness, and learning requirements.</w:t>
      </w:r>
    </w:p>
    <w:p w14:paraId="304E52A7" w14:textId="77777777" w:rsidR="00A14608" w:rsidRPr="007364BD" w:rsidRDefault="00000000" w:rsidP="004E1F91">
      <w:pPr>
        <w:numPr>
          <w:ilvl w:val="0"/>
          <w:numId w:val="3"/>
        </w:num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Account Support Services - indicates support in the areas of onboarding, KYC, account management, and processes.</w:t>
      </w:r>
    </w:p>
    <w:p w14:paraId="47C5A616" w14:textId="77777777" w:rsidR="00A14608" w:rsidRPr="007364BD" w:rsidRDefault="00000000" w:rsidP="004E1F91">
      <w:pPr>
        <w:numPr>
          <w:ilvl w:val="0"/>
          <w:numId w:val="3"/>
        </w:num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Risk and Behavioural Concerns- this represents psychological issues like fear of loss, concerns of volatility, and trust issues.</w:t>
      </w:r>
    </w:p>
    <w:p w14:paraId="04817688" w14:textId="0F5C263B" w:rsidR="00A14608" w:rsidRPr="007364BD" w:rsidRDefault="00335FEF" w:rsidP="004E1F91">
      <w:pPr>
        <w:spacing w:line="276" w:lineRule="auto"/>
        <w:ind w:firstLine="720"/>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 xml:space="preserve">The factor structure is fairly aligned with the conceptual model of the study and also provides a statistically validated basis of further structural </w:t>
      </w:r>
      <w:proofErr w:type="spellStart"/>
      <w:r w:rsidRPr="007364BD">
        <w:rPr>
          <w:rFonts w:ascii="Arial" w:eastAsia="Times New Roman" w:hAnsi="Arial"/>
          <w:color w:val="000000" w:themeColor="text1"/>
          <w:sz w:val="20"/>
          <w:szCs w:val="20"/>
        </w:rPr>
        <w:t>modeling</w:t>
      </w:r>
      <w:proofErr w:type="spellEnd"/>
      <w:r w:rsidRPr="007364BD">
        <w:rPr>
          <w:rFonts w:ascii="Arial" w:eastAsia="Times New Roman" w:hAnsi="Arial"/>
          <w:color w:val="000000" w:themeColor="text1"/>
          <w:sz w:val="20"/>
          <w:szCs w:val="20"/>
        </w:rPr>
        <w:t xml:space="preserve"> (Baveja and Verma, 2024; </w:t>
      </w:r>
      <w:proofErr w:type="spellStart"/>
      <w:r w:rsidRPr="007364BD">
        <w:rPr>
          <w:rFonts w:ascii="Arial" w:eastAsia="Times New Roman" w:hAnsi="Arial"/>
          <w:color w:val="000000" w:themeColor="text1"/>
          <w:sz w:val="20"/>
          <w:szCs w:val="20"/>
        </w:rPr>
        <w:t>Lakoni</w:t>
      </w:r>
      <w:proofErr w:type="spellEnd"/>
      <w:r w:rsidRPr="007364BD">
        <w:rPr>
          <w:rFonts w:ascii="Arial" w:eastAsia="Times New Roman" w:hAnsi="Arial"/>
          <w:color w:val="000000" w:themeColor="text1"/>
          <w:sz w:val="20"/>
          <w:szCs w:val="20"/>
        </w:rPr>
        <w:t xml:space="preserve"> et al., 2023).</w:t>
      </w:r>
    </w:p>
    <w:p w14:paraId="75ACFF64" w14:textId="77777777" w:rsidR="00A14608" w:rsidRPr="007364BD" w:rsidRDefault="00000000" w:rsidP="004E1F91">
      <w:pPr>
        <w:pStyle w:val="Heading2"/>
        <w:keepNext w:val="0"/>
        <w:keepLines w:val="0"/>
        <w:spacing w:before="0" w:after="0" w:line="276" w:lineRule="auto"/>
        <w:rPr>
          <w:rFonts w:ascii="Arial" w:eastAsia="Times New Roman" w:hAnsi="Arial"/>
          <w:b/>
          <w:bCs/>
          <w:color w:val="000000" w:themeColor="text1"/>
          <w:sz w:val="20"/>
          <w:szCs w:val="20"/>
        </w:rPr>
      </w:pPr>
      <w:bookmarkStart w:id="13" w:name="_khm6wrbyytoh" w:colFirst="0" w:colLast="0"/>
      <w:bookmarkEnd w:id="13"/>
      <w:r w:rsidRPr="007364BD">
        <w:rPr>
          <w:rFonts w:ascii="Arial" w:eastAsia="Times New Roman" w:hAnsi="Arial"/>
          <w:b/>
          <w:bCs/>
          <w:color w:val="000000" w:themeColor="text1"/>
          <w:sz w:val="20"/>
          <w:szCs w:val="20"/>
        </w:rPr>
        <w:t xml:space="preserve">PLS-SEM Results </w:t>
      </w:r>
    </w:p>
    <w:p w14:paraId="08CEA42E" w14:textId="50952165" w:rsidR="00A14608" w:rsidRPr="007364BD" w:rsidRDefault="00335FEF" w:rsidP="004E1F91">
      <w:pPr>
        <w:spacing w:line="276" w:lineRule="auto"/>
        <w:ind w:firstLine="720"/>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 xml:space="preserve">Partial Least Squares Structural Equation </w:t>
      </w:r>
      <w:proofErr w:type="spellStart"/>
      <w:r w:rsidRPr="007364BD">
        <w:rPr>
          <w:rFonts w:ascii="Arial" w:eastAsia="Times New Roman" w:hAnsi="Arial"/>
          <w:color w:val="000000" w:themeColor="text1"/>
          <w:sz w:val="20"/>
          <w:szCs w:val="20"/>
        </w:rPr>
        <w:t>Modeling</w:t>
      </w:r>
      <w:proofErr w:type="spellEnd"/>
      <w:r w:rsidRPr="007364BD">
        <w:rPr>
          <w:rFonts w:ascii="Arial" w:eastAsia="Times New Roman" w:hAnsi="Arial"/>
          <w:color w:val="000000" w:themeColor="text1"/>
          <w:sz w:val="20"/>
          <w:szCs w:val="20"/>
        </w:rPr>
        <w:t xml:space="preserve"> (PLS-SEM) was used to analyse the relationships between education, support services, awareness, and behavioural outcomes.</w:t>
      </w:r>
    </w:p>
    <w:p w14:paraId="7A7D2E22" w14:textId="77777777" w:rsidR="00A14608" w:rsidRPr="007364BD" w:rsidRDefault="00000000" w:rsidP="004E1F91">
      <w:pPr>
        <w:numPr>
          <w:ilvl w:val="0"/>
          <w:numId w:val="1"/>
        </w:numPr>
        <w:spacing w:line="276" w:lineRule="auto"/>
        <w:rPr>
          <w:rFonts w:ascii="Arial" w:eastAsia="Times New Roman" w:hAnsi="Arial"/>
          <w:b/>
          <w:bCs/>
          <w:color w:val="000000" w:themeColor="text1"/>
          <w:sz w:val="20"/>
          <w:szCs w:val="20"/>
        </w:rPr>
      </w:pPr>
      <w:r w:rsidRPr="007364BD">
        <w:rPr>
          <w:rFonts w:ascii="Arial" w:eastAsia="Times New Roman" w:hAnsi="Arial"/>
          <w:b/>
          <w:bCs/>
          <w:color w:val="000000" w:themeColor="text1"/>
          <w:sz w:val="20"/>
          <w:szCs w:val="20"/>
        </w:rPr>
        <w:t>Intermediary Data Model</w:t>
      </w:r>
    </w:p>
    <w:p w14:paraId="62B69E93" w14:textId="77777777" w:rsidR="00526CFD" w:rsidRPr="007364BD" w:rsidRDefault="00526CFD" w:rsidP="004E1F91">
      <w:pPr>
        <w:spacing w:line="276" w:lineRule="auto"/>
        <w:ind w:firstLine="360"/>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In order to maintain clarity and consistency of the PLS-SEM model, the study have operationalised the main constructs and their indicators in the following manner:</w:t>
      </w:r>
    </w:p>
    <w:p w14:paraId="12EE478B" w14:textId="77777777" w:rsidR="00526CFD" w:rsidRPr="007364BD" w:rsidRDefault="00526CFD"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Investor Education &amp; Awareness (IEA): This relates to investors' financial knowledge and the need for financial education.</w:t>
      </w:r>
    </w:p>
    <w:p w14:paraId="5A3B66AD" w14:textId="77777777" w:rsidR="00526CFD" w:rsidRPr="007364BD" w:rsidRDefault="00526CFD" w:rsidP="004E1F91">
      <w:pPr>
        <w:pStyle w:val="ListParagraph"/>
        <w:numPr>
          <w:ilvl w:val="0"/>
          <w:numId w:val="4"/>
        </w:num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IEA1: Knowledge about financial products and investment opportunities</w:t>
      </w:r>
    </w:p>
    <w:p w14:paraId="33DEEA1E" w14:textId="77777777" w:rsidR="00526CFD" w:rsidRPr="007364BD" w:rsidRDefault="00526CFD" w:rsidP="004E1F91">
      <w:pPr>
        <w:pStyle w:val="ListParagraph"/>
        <w:numPr>
          <w:ilvl w:val="0"/>
          <w:numId w:val="4"/>
        </w:num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IEA2: Knowledge of investment processes and market mechanism</w:t>
      </w:r>
    </w:p>
    <w:p w14:paraId="09C850A0" w14:textId="77777777" w:rsidR="00526CFD" w:rsidRPr="007364BD" w:rsidRDefault="00526CFD" w:rsidP="004E1F91">
      <w:pPr>
        <w:pStyle w:val="ListParagraph"/>
        <w:numPr>
          <w:ilvl w:val="0"/>
          <w:numId w:val="4"/>
        </w:num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IEA3: Need for financial and learning assistance</w:t>
      </w:r>
    </w:p>
    <w:p w14:paraId="64C9C7CA" w14:textId="77777777" w:rsidR="00526CFD" w:rsidRPr="007364BD" w:rsidRDefault="00526CFD"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Investor Account Support Services (IASS): This indicates the level of support needed by investors to support their investment accounts.</w:t>
      </w:r>
    </w:p>
    <w:p w14:paraId="2C027D08" w14:textId="77777777" w:rsidR="00526CFD" w:rsidRPr="007364BD" w:rsidRDefault="00526CFD" w:rsidP="004E1F91">
      <w:pPr>
        <w:pStyle w:val="ListParagraph"/>
        <w:numPr>
          <w:ilvl w:val="0"/>
          <w:numId w:val="5"/>
        </w:num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IASS3: Assistance in account opening and KYC process</w:t>
      </w:r>
    </w:p>
    <w:p w14:paraId="76835DEA" w14:textId="77777777" w:rsidR="00526CFD" w:rsidRPr="007364BD" w:rsidRDefault="00526CFD" w:rsidP="004E1F91">
      <w:pPr>
        <w:pStyle w:val="ListParagraph"/>
        <w:numPr>
          <w:ilvl w:val="0"/>
          <w:numId w:val="5"/>
        </w:num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IASS5: Support in managing an account and transactional matters</w:t>
      </w:r>
    </w:p>
    <w:p w14:paraId="28B6DB30" w14:textId="77777777" w:rsidR="00526CFD" w:rsidRPr="007364BD" w:rsidRDefault="00526CFD" w:rsidP="004E1F91">
      <w:p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Investment Risk &amp; Behavioural Concern (IRBC): This factor represents the psychological and/or risk-based factors that affect investment.</w:t>
      </w:r>
    </w:p>
    <w:p w14:paraId="0A03799D" w14:textId="77777777" w:rsidR="00526CFD" w:rsidRPr="007364BD" w:rsidRDefault="00526CFD" w:rsidP="004E1F91">
      <w:pPr>
        <w:pStyle w:val="ListParagraph"/>
        <w:numPr>
          <w:ilvl w:val="0"/>
          <w:numId w:val="6"/>
        </w:num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IRBC1: Concerns about losing money</w:t>
      </w:r>
    </w:p>
    <w:p w14:paraId="425D1FDA" w14:textId="77777777" w:rsidR="00526CFD" w:rsidRPr="007364BD" w:rsidRDefault="00526CFD" w:rsidP="004E1F91">
      <w:pPr>
        <w:pStyle w:val="ListParagraph"/>
        <w:numPr>
          <w:ilvl w:val="0"/>
          <w:numId w:val="6"/>
        </w:numPr>
        <w:spacing w:line="276" w:lineRule="auto"/>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IRBC2: Fears of risk and uncertainty</w:t>
      </w:r>
    </w:p>
    <w:p w14:paraId="1D66BF17" w14:textId="099BC14B" w:rsidR="00526CFD" w:rsidRPr="007364BD" w:rsidRDefault="00526CFD" w:rsidP="004E1F91">
      <w:pPr>
        <w:spacing w:line="276" w:lineRule="auto"/>
        <w:ind w:firstLine="360"/>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These definitions link the variables to the constructs in the structural model.</w:t>
      </w:r>
    </w:p>
    <w:p w14:paraId="2F5FBBC0" w14:textId="77777777" w:rsidR="00A14608" w:rsidRPr="007364BD" w:rsidRDefault="00000000" w:rsidP="004E1F91">
      <w:pPr>
        <w:spacing w:line="276" w:lineRule="auto"/>
        <w:jc w:val="center"/>
        <w:rPr>
          <w:rFonts w:ascii="Arial" w:eastAsia="Times New Roman" w:hAnsi="Arial"/>
          <w:b/>
          <w:bCs/>
          <w:color w:val="000000" w:themeColor="text1"/>
          <w:sz w:val="20"/>
          <w:szCs w:val="20"/>
        </w:rPr>
      </w:pPr>
      <w:r w:rsidRPr="007364BD">
        <w:rPr>
          <w:rFonts w:ascii="Arial" w:eastAsia="Times New Roman" w:hAnsi="Arial"/>
          <w:b/>
          <w:bCs/>
          <w:noProof/>
          <w:color w:val="000000" w:themeColor="text1"/>
          <w:sz w:val="20"/>
          <w:szCs w:val="20"/>
        </w:rPr>
        <w:lastRenderedPageBreak/>
        <w:drawing>
          <wp:inline distT="114300" distB="114300" distL="114300" distR="114300" wp14:anchorId="532B1C30" wp14:editId="588A3ECF">
            <wp:extent cx="2933700" cy="2470150"/>
            <wp:effectExtent l="19050" t="19050" r="19050" b="25400"/>
            <wp:docPr id="1" name="image1.png"/>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a:stretch>
                      <a:fillRect/>
                    </a:stretch>
                  </pic:blipFill>
                  <pic:spPr>
                    <a:xfrm>
                      <a:off x="0" y="0"/>
                      <a:ext cx="2933700" cy="2470150"/>
                    </a:xfrm>
                    <a:prstGeom prst="rect">
                      <a:avLst/>
                    </a:prstGeom>
                    <a:ln w="12700">
                      <a:solidFill>
                        <a:srgbClr val="000000"/>
                      </a:solidFill>
                      <a:prstDash val="solid"/>
                    </a:ln>
                  </pic:spPr>
                </pic:pic>
              </a:graphicData>
            </a:graphic>
          </wp:inline>
        </w:drawing>
      </w:r>
    </w:p>
    <w:p w14:paraId="06B26FB9" w14:textId="4AF4831F" w:rsidR="00A14608" w:rsidRPr="007364BD" w:rsidRDefault="00000000" w:rsidP="004E1F91">
      <w:pPr>
        <w:spacing w:line="276" w:lineRule="auto"/>
        <w:jc w:val="center"/>
        <w:rPr>
          <w:rFonts w:ascii="Arial" w:eastAsia="Times New Roman" w:hAnsi="Arial"/>
          <w:b/>
          <w:bCs/>
          <w:color w:val="000000" w:themeColor="text1"/>
          <w:sz w:val="20"/>
          <w:szCs w:val="20"/>
        </w:rPr>
      </w:pPr>
      <w:r w:rsidRPr="007364BD">
        <w:rPr>
          <w:rFonts w:ascii="Arial" w:eastAsia="Times New Roman" w:hAnsi="Arial"/>
          <w:b/>
          <w:bCs/>
          <w:color w:val="000000" w:themeColor="text1"/>
          <w:sz w:val="20"/>
          <w:szCs w:val="20"/>
        </w:rPr>
        <w:t xml:space="preserve">Figure </w:t>
      </w:r>
      <w:r w:rsidR="00390D7A" w:rsidRPr="007364BD">
        <w:rPr>
          <w:rFonts w:ascii="Arial" w:eastAsia="Times New Roman" w:hAnsi="Arial"/>
          <w:b/>
          <w:bCs/>
          <w:color w:val="000000" w:themeColor="text1"/>
          <w:sz w:val="20"/>
          <w:szCs w:val="20"/>
        </w:rPr>
        <w:t>3</w:t>
      </w:r>
      <w:r w:rsidRPr="007364BD">
        <w:rPr>
          <w:rFonts w:ascii="Arial" w:eastAsia="Times New Roman" w:hAnsi="Arial"/>
          <w:b/>
          <w:bCs/>
          <w:color w:val="000000" w:themeColor="text1"/>
          <w:sz w:val="20"/>
          <w:szCs w:val="20"/>
        </w:rPr>
        <w:t>: PLS-SEM Path Model (Intermediatory data)</w:t>
      </w:r>
    </w:p>
    <w:p w14:paraId="0674BDD0" w14:textId="0BEAD445" w:rsidR="00A14608" w:rsidRPr="007364BD" w:rsidRDefault="00000000" w:rsidP="004E1F91">
      <w:pPr>
        <w:spacing w:line="276" w:lineRule="auto"/>
        <w:ind w:firstLine="720"/>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 xml:space="preserve">The explanatory power of the structural model, which uses intermediary data, is very low. </w:t>
      </w:r>
      <w:r w:rsidR="00335FEF" w:rsidRPr="007364BD">
        <w:rPr>
          <w:rFonts w:ascii="Arial" w:eastAsia="Times New Roman" w:hAnsi="Arial"/>
          <w:color w:val="000000" w:themeColor="text1"/>
          <w:sz w:val="20"/>
          <w:szCs w:val="20"/>
        </w:rPr>
        <w:t>The risk/behavioural concerns (R</w:t>
      </w:r>
      <w:r w:rsidR="00335FEF" w:rsidRPr="007364BD">
        <w:rPr>
          <w:rFonts w:ascii="Arial" w:eastAsia="Times New Roman" w:hAnsi="Arial"/>
          <w:color w:val="000000" w:themeColor="text1"/>
          <w:sz w:val="20"/>
          <w:szCs w:val="20"/>
          <w:vertAlign w:val="superscript"/>
        </w:rPr>
        <w:t>2</w:t>
      </w:r>
      <w:r w:rsidR="00335FEF" w:rsidRPr="007364BD">
        <w:rPr>
          <w:rFonts w:ascii="Arial" w:eastAsia="Times New Roman" w:hAnsi="Arial"/>
          <w:color w:val="000000" w:themeColor="text1"/>
          <w:sz w:val="20"/>
          <w:szCs w:val="20"/>
        </w:rPr>
        <w:t>) and investor awareness (R</w:t>
      </w:r>
      <w:r w:rsidR="00335FEF" w:rsidRPr="007364BD">
        <w:rPr>
          <w:rFonts w:ascii="Arial" w:eastAsia="Times New Roman" w:hAnsi="Arial"/>
          <w:color w:val="000000" w:themeColor="text1"/>
          <w:sz w:val="20"/>
          <w:szCs w:val="20"/>
          <w:vertAlign w:val="superscript"/>
        </w:rPr>
        <w:t>2</w:t>
      </w:r>
      <w:r w:rsidR="00335FEF" w:rsidRPr="007364BD">
        <w:rPr>
          <w:rFonts w:ascii="Arial" w:eastAsia="Times New Roman" w:hAnsi="Arial"/>
          <w:color w:val="000000" w:themeColor="text1"/>
          <w:sz w:val="20"/>
          <w:szCs w:val="20"/>
        </w:rPr>
        <w:t>) are 0.028 and 0.025, respectively. These values indicate that the independent variables (primarily education and support services) can only explain a small proportion of variance in the dependent constructs. This shows that the current investor education programmes and support systems are poor in terms of addressing the behavioural as well as informational problems underlying investors.</w:t>
      </w:r>
      <w:r w:rsidRPr="007364BD">
        <w:rPr>
          <w:rFonts w:ascii="Arial" w:eastAsia="Times New Roman" w:hAnsi="Arial"/>
          <w:color w:val="000000" w:themeColor="text1"/>
          <w:sz w:val="20"/>
          <w:szCs w:val="20"/>
        </w:rPr>
        <w:t xml:space="preserve"> Although intermediate players have realized the relevance of education, there does not seem to be much effect (Nathanael &amp; </w:t>
      </w:r>
      <w:proofErr w:type="spellStart"/>
      <w:r w:rsidRPr="007364BD">
        <w:rPr>
          <w:rFonts w:ascii="Arial" w:eastAsia="Times New Roman" w:hAnsi="Arial"/>
          <w:color w:val="000000" w:themeColor="text1"/>
          <w:sz w:val="20"/>
          <w:szCs w:val="20"/>
        </w:rPr>
        <w:t>Ngollo</w:t>
      </w:r>
      <w:proofErr w:type="spellEnd"/>
      <w:r w:rsidRPr="007364BD">
        <w:rPr>
          <w:rFonts w:ascii="Arial" w:eastAsia="Times New Roman" w:hAnsi="Arial"/>
          <w:color w:val="000000" w:themeColor="text1"/>
          <w:sz w:val="20"/>
          <w:szCs w:val="20"/>
        </w:rPr>
        <w:t>, 2025).</w:t>
      </w:r>
    </w:p>
    <w:p w14:paraId="47A2917B" w14:textId="77777777" w:rsidR="00A14608" w:rsidRPr="007364BD" w:rsidRDefault="00000000" w:rsidP="004E1F91">
      <w:pPr>
        <w:numPr>
          <w:ilvl w:val="0"/>
          <w:numId w:val="2"/>
        </w:numPr>
        <w:spacing w:line="276" w:lineRule="auto"/>
        <w:rPr>
          <w:rFonts w:ascii="Arial" w:eastAsia="Times New Roman" w:hAnsi="Arial"/>
          <w:b/>
          <w:bCs/>
          <w:color w:val="000000" w:themeColor="text1"/>
          <w:sz w:val="20"/>
          <w:szCs w:val="20"/>
        </w:rPr>
      </w:pPr>
      <w:r w:rsidRPr="007364BD">
        <w:rPr>
          <w:rFonts w:ascii="Arial" w:eastAsia="Times New Roman" w:hAnsi="Arial"/>
          <w:b/>
          <w:bCs/>
          <w:color w:val="000000" w:themeColor="text1"/>
          <w:sz w:val="20"/>
          <w:szCs w:val="20"/>
        </w:rPr>
        <w:t xml:space="preserve">Respondent Data Model </w:t>
      </w:r>
    </w:p>
    <w:p w14:paraId="42B3E902" w14:textId="77777777" w:rsidR="00A14608" w:rsidRPr="007364BD" w:rsidRDefault="00000000" w:rsidP="004E1F91">
      <w:pPr>
        <w:spacing w:line="276" w:lineRule="auto"/>
        <w:jc w:val="center"/>
        <w:rPr>
          <w:rFonts w:ascii="Arial" w:eastAsia="Times New Roman" w:hAnsi="Arial"/>
          <w:b/>
          <w:bCs/>
          <w:color w:val="000000" w:themeColor="text1"/>
          <w:sz w:val="20"/>
          <w:szCs w:val="20"/>
        </w:rPr>
      </w:pPr>
      <w:r w:rsidRPr="007364BD">
        <w:rPr>
          <w:rFonts w:ascii="Arial" w:eastAsia="Times New Roman" w:hAnsi="Arial"/>
          <w:b/>
          <w:bCs/>
          <w:noProof/>
          <w:color w:val="000000" w:themeColor="text1"/>
          <w:sz w:val="20"/>
          <w:szCs w:val="20"/>
        </w:rPr>
        <w:drawing>
          <wp:inline distT="114300" distB="114300" distL="114300" distR="114300" wp14:anchorId="7332662C" wp14:editId="002C1ABD">
            <wp:extent cx="2482850" cy="2508250"/>
            <wp:effectExtent l="19050" t="19050" r="12700" b="25400"/>
            <wp:docPr id="2" name="image2.png"/>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1"/>
                    <a:stretch>
                      <a:fillRect/>
                    </a:stretch>
                  </pic:blipFill>
                  <pic:spPr>
                    <a:xfrm>
                      <a:off x="0" y="0"/>
                      <a:ext cx="2482850" cy="2508250"/>
                    </a:xfrm>
                    <a:prstGeom prst="rect">
                      <a:avLst/>
                    </a:prstGeom>
                    <a:ln w="12700">
                      <a:solidFill>
                        <a:srgbClr val="000000"/>
                      </a:solidFill>
                      <a:prstDash val="solid"/>
                    </a:ln>
                  </pic:spPr>
                </pic:pic>
              </a:graphicData>
            </a:graphic>
          </wp:inline>
        </w:drawing>
      </w:r>
    </w:p>
    <w:p w14:paraId="0AFEDCF4" w14:textId="23768673" w:rsidR="00A14608" w:rsidRPr="007364BD" w:rsidRDefault="00000000" w:rsidP="004E1F91">
      <w:pPr>
        <w:spacing w:line="276" w:lineRule="auto"/>
        <w:jc w:val="center"/>
        <w:rPr>
          <w:rFonts w:ascii="Arial" w:eastAsia="Times New Roman" w:hAnsi="Arial"/>
          <w:b/>
          <w:bCs/>
          <w:color w:val="000000" w:themeColor="text1"/>
          <w:sz w:val="20"/>
          <w:szCs w:val="20"/>
        </w:rPr>
      </w:pPr>
      <w:r w:rsidRPr="007364BD">
        <w:rPr>
          <w:rFonts w:ascii="Arial" w:eastAsia="Times New Roman" w:hAnsi="Arial"/>
          <w:b/>
          <w:bCs/>
          <w:color w:val="000000" w:themeColor="text1"/>
          <w:sz w:val="20"/>
          <w:szCs w:val="20"/>
        </w:rPr>
        <w:t xml:space="preserve">Figure </w:t>
      </w:r>
      <w:r w:rsidR="00390D7A" w:rsidRPr="007364BD">
        <w:rPr>
          <w:rFonts w:ascii="Arial" w:eastAsia="Times New Roman" w:hAnsi="Arial"/>
          <w:b/>
          <w:bCs/>
          <w:color w:val="000000" w:themeColor="text1"/>
          <w:sz w:val="20"/>
          <w:szCs w:val="20"/>
        </w:rPr>
        <w:t>4</w:t>
      </w:r>
      <w:r w:rsidRPr="007364BD">
        <w:rPr>
          <w:rFonts w:ascii="Arial" w:eastAsia="Times New Roman" w:hAnsi="Arial"/>
          <w:b/>
          <w:bCs/>
          <w:color w:val="000000" w:themeColor="text1"/>
          <w:sz w:val="20"/>
          <w:szCs w:val="20"/>
        </w:rPr>
        <w:t>: PLS-SEM Path Model (Respondent data)</w:t>
      </w:r>
    </w:p>
    <w:p w14:paraId="6E6F2D57" w14:textId="1E63767D" w:rsidR="00A14608" w:rsidRPr="007364BD" w:rsidRDefault="00000000" w:rsidP="004E1F91">
      <w:pPr>
        <w:spacing w:line="276" w:lineRule="auto"/>
        <w:ind w:firstLine="720"/>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The respondent data-driven model gives slightly higher findings. Investor awareness has a moderate explanatory power with an R</w:t>
      </w:r>
      <w:r w:rsidRPr="007364BD">
        <w:rPr>
          <w:rFonts w:ascii="Arial" w:eastAsia="Times New Roman" w:hAnsi="Arial"/>
          <w:color w:val="000000" w:themeColor="text1"/>
          <w:sz w:val="20"/>
          <w:szCs w:val="20"/>
          <w:vertAlign w:val="superscript"/>
        </w:rPr>
        <w:t>2</w:t>
      </w:r>
      <w:r w:rsidRPr="007364BD">
        <w:rPr>
          <w:rFonts w:ascii="Arial" w:eastAsia="Times New Roman" w:hAnsi="Arial"/>
          <w:color w:val="000000" w:themeColor="text1"/>
          <w:sz w:val="20"/>
          <w:szCs w:val="20"/>
        </w:rPr>
        <w:t xml:space="preserve"> of 0.135. More to the point, the R</w:t>
      </w:r>
      <w:r w:rsidRPr="007364BD">
        <w:rPr>
          <w:rFonts w:ascii="Arial" w:eastAsia="Times New Roman" w:hAnsi="Arial"/>
          <w:color w:val="000000" w:themeColor="text1"/>
          <w:sz w:val="20"/>
          <w:szCs w:val="20"/>
          <w:vertAlign w:val="superscript"/>
        </w:rPr>
        <w:t>2</w:t>
      </w:r>
      <w:r w:rsidRPr="007364BD">
        <w:rPr>
          <w:rFonts w:ascii="Arial" w:eastAsia="Times New Roman" w:hAnsi="Arial"/>
          <w:color w:val="000000" w:themeColor="text1"/>
          <w:sz w:val="20"/>
          <w:szCs w:val="20"/>
        </w:rPr>
        <w:t xml:space="preserve"> value of risk and behavioural concerns is 0.426, indicating that a significant part of behavioural outcomes can be attributed to the model. These results show that the barriers of behaviour are quite entrenched and they dominate in influencing investment decisions. Although financial education helps to enhance awareness, the psychological limitations of fear of loss, uncertainty, and lack of trust cannot be completely overcome by financial education. In sum, the results of the PLS-SEM indicate a very important finding that education is positively but weakly associated, whereas behavioural factors have a much greater effect on investment </w:t>
      </w:r>
      <w:r w:rsidR="00335FEF" w:rsidRPr="007364BD">
        <w:rPr>
          <w:rFonts w:ascii="Arial" w:eastAsia="Times New Roman" w:hAnsi="Arial"/>
          <w:color w:val="000000" w:themeColor="text1"/>
          <w:sz w:val="20"/>
          <w:szCs w:val="20"/>
        </w:rPr>
        <w:t>behaviour</w:t>
      </w:r>
      <w:r w:rsidRPr="007364BD">
        <w:rPr>
          <w:rFonts w:ascii="Arial" w:eastAsia="Times New Roman" w:hAnsi="Arial"/>
          <w:color w:val="000000" w:themeColor="text1"/>
          <w:sz w:val="20"/>
          <w:szCs w:val="20"/>
        </w:rPr>
        <w:t xml:space="preserve"> (Nathanael &amp; </w:t>
      </w:r>
      <w:proofErr w:type="spellStart"/>
      <w:r w:rsidRPr="007364BD">
        <w:rPr>
          <w:rFonts w:ascii="Arial" w:eastAsia="Times New Roman" w:hAnsi="Arial"/>
          <w:color w:val="000000" w:themeColor="text1"/>
          <w:sz w:val="20"/>
          <w:szCs w:val="20"/>
        </w:rPr>
        <w:t>Ngollo</w:t>
      </w:r>
      <w:proofErr w:type="spellEnd"/>
      <w:r w:rsidRPr="007364BD">
        <w:rPr>
          <w:rFonts w:ascii="Arial" w:eastAsia="Times New Roman" w:hAnsi="Arial"/>
          <w:color w:val="000000" w:themeColor="text1"/>
          <w:sz w:val="20"/>
          <w:szCs w:val="20"/>
        </w:rPr>
        <w:t>, 2025).</w:t>
      </w:r>
    </w:p>
    <w:p w14:paraId="3A2B655B" w14:textId="77777777" w:rsidR="00A14608" w:rsidRPr="007364BD" w:rsidRDefault="00000000" w:rsidP="004E1F91">
      <w:pPr>
        <w:pStyle w:val="Heading2"/>
        <w:keepNext w:val="0"/>
        <w:keepLines w:val="0"/>
        <w:spacing w:before="0" w:after="0" w:line="276" w:lineRule="auto"/>
        <w:rPr>
          <w:rFonts w:ascii="Arial" w:eastAsia="Times New Roman" w:hAnsi="Arial"/>
          <w:b/>
          <w:bCs/>
          <w:color w:val="000000" w:themeColor="text1"/>
          <w:sz w:val="20"/>
          <w:szCs w:val="20"/>
        </w:rPr>
      </w:pPr>
      <w:bookmarkStart w:id="14" w:name="_nppiqtll6el2" w:colFirst="0" w:colLast="0"/>
      <w:bookmarkEnd w:id="14"/>
      <w:r w:rsidRPr="007364BD">
        <w:rPr>
          <w:rFonts w:ascii="Arial" w:eastAsia="Times New Roman" w:hAnsi="Arial"/>
          <w:b/>
          <w:bCs/>
          <w:color w:val="000000" w:themeColor="text1"/>
          <w:sz w:val="20"/>
          <w:szCs w:val="20"/>
        </w:rPr>
        <w:t xml:space="preserve">Key Integrated Insight </w:t>
      </w:r>
    </w:p>
    <w:p w14:paraId="2DDC2C8D" w14:textId="77777777" w:rsidR="00A14608" w:rsidRPr="007364BD" w:rsidRDefault="00000000" w:rsidP="004E1F91">
      <w:pPr>
        <w:spacing w:line="276" w:lineRule="auto"/>
        <w:ind w:firstLine="720"/>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 xml:space="preserve">The results of the descriptive analysis, cross-tabulation, factor analysis, and PLS-SEM are combined and culminate in one main point that financial education enhances awareness but does not necessarily lead to participation. Although the barriers related to knowledge are critical, the behavioural and psychological barriers are the most critical issues in determining the investor's decisions. This means that there should be good support services, streamlined processes, and behavioural interventions to </w:t>
      </w:r>
      <w:r w:rsidRPr="007364BD">
        <w:rPr>
          <w:rFonts w:ascii="Arial" w:eastAsia="Times New Roman" w:hAnsi="Arial"/>
          <w:color w:val="000000" w:themeColor="text1"/>
          <w:sz w:val="20"/>
          <w:szCs w:val="20"/>
        </w:rPr>
        <w:lastRenderedPageBreak/>
        <w:t>accompany education. As long as these dimensions are not taken into consideration, the effect of financial education will not be significant. Hence, an integrated strategy incorporating education, usability, and behavioural design is vital in boosting participation in the securities market.</w:t>
      </w:r>
    </w:p>
    <w:p w14:paraId="72A5E48D" w14:textId="77777777" w:rsidR="00A14608" w:rsidRPr="007364BD" w:rsidRDefault="00000000" w:rsidP="004E1F91">
      <w:pPr>
        <w:pStyle w:val="Heading1"/>
        <w:keepNext w:val="0"/>
        <w:keepLines w:val="0"/>
        <w:spacing w:before="0" w:after="0" w:line="276" w:lineRule="auto"/>
        <w:rPr>
          <w:rFonts w:ascii="Arial" w:eastAsia="Times New Roman" w:hAnsi="Arial"/>
          <w:b/>
          <w:bCs/>
          <w:color w:val="000000" w:themeColor="text1"/>
          <w:sz w:val="20"/>
          <w:szCs w:val="20"/>
        </w:rPr>
      </w:pPr>
      <w:bookmarkStart w:id="15" w:name="_ela0hqoje9ht" w:colFirst="0" w:colLast="0"/>
      <w:bookmarkEnd w:id="15"/>
      <w:r w:rsidRPr="007364BD">
        <w:rPr>
          <w:rFonts w:ascii="Arial" w:eastAsia="Times New Roman" w:hAnsi="Arial"/>
          <w:b/>
          <w:bCs/>
          <w:color w:val="000000" w:themeColor="text1"/>
          <w:sz w:val="20"/>
          <w:szCs w:val="20"/>
        </w:rPr>
        <w:t xml:space="preserve">DISCUSSION </w:t>
      </w:r>
    </w:p>
    <w:p w14:paraId="613DF26D" w14:textId="1FF56A9E" w:rsidR="00A14608" w:rsidRPr="007364BD" w:rsidRDefault="00000000" w:rsidP="004E1F91">
      <w:pPr>
        <w:spacing w:line="276" w:lineRule="auto"/>
        <w:ind w:firstLine="720"/>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 xml:space="preserve">The results of the present research coincide with the literature on financial literacy and behavioural finance, as well as contribute to the topic and expand it to the impact of digital platforms. The findings are consistent with previous studies that reveal that financial literacy is one of the determinants of investment behaviour. </w:t>
      </w:r>
      <w:r w:rsidR="00201C9F" w:rsidRPr="007364BD">
        <w:rPr>
          <w:rFonts w:ascii="Arial" w:eastAsia="Times New Roman" w:hAnsi="Arial"/>
          <w:color w:val="000000" w:themeColor="text1"/>
          <w:sz w:val="20"/>
          <w:szCs w:val="20"/>
        </w:rPr>
        <w:t>However, the study also indicates that knowledge alone cannot be a motivating factor to take part. The hegemony of the obstacles observed in the descriptive and the cross-tabulation analysis conforms to the behavioural finance theories, which emphasise the significance of psychological factors, such as fear, uncertainty, and distrust. These findings also agree with SEBI survey findings which show that the most significant inhibitors are complexity and lack of understanding. The multidimensionality of the issue which investor challenges have is also proven by the factor analysis as it distinguishes between education, operational support and behavioural issues</w:t>
      </w:r>
      <w:r w:rsidR="00D82F39" w:rsidRPr="007364BD">
        <w:rPr>
          <w:rFonts w:ascii="Arial" w:eastAsia="Times New Roman" w:hAnsi="Arial"/>
          <w:color w:val="000000" w:themeColor="text1"/>
          <w:sz w:val="20"/>
          <w:szCs w:val="20"/>
        </w:rPr>
        <w:t xml:space="preserve"> (</w:t>
      </w:r>
      <w:r w:rsidR="00D82F39" w:rsidRPr="007364BD">
        <w:rPr>
          <w:rFonts w:ascii="Arial" w:eastAsia="Times New Roman" w:hAnsi="Arial"/>
          <w:color w:val="000000" w:themeColor="text1"/>
          <w:sz w:val="20"/>
          <w:szCs w:val="20"/>
          <w:lang w:val="en-ZW"/>
        </w:rPr>
        <w:t>Manoj Kumar et al., 2024)</w:t>
      </w:r>
      <w:r w:rsidR="00201C9F" w:rsidRPr="007364BD">
        <w:rPr>
          <w:rFonts w:ascii="Arial" w:eastAsia="Times New Roman" w:hAnsi="Arial"/>
          <w:color w:val="000000" w:themeColor="text1"/>
          <w:sz w:val="20"/>
          <w:szCs w:val="20"/>
        </w:rPr>
        <w:t>.</w:t>
      </w:r>
      <w:r w:rsidRPr="007364BD">
        <w:rPr>
          <w:rFonts w:ascii="Arial" w:eastAsia="Times New Roman" w:hAnsi="Arial"/>
          <w:color w:val="000000" w:themeColor="text1"/>
          <w:sz w:val="20"/>
          <w:szCs w:val="20"/>
        </w:rPr>
        <w:t xml:space="preserve"> This supports the importance of combined interventions as opposed to individual interventions.</w:t>
      </w:r>
    </w:p>
    <w:p w14:paraId="208A2D85" w14:textId="77777777" w:rsidR="00A14608" w:rsidRPr="007364BD" w:rsidRDefault="00000000" w:rsidP="004E1F91">
      <w:pPr>
        <w:spacing w:line="276" w:lineRule="auto"/>
        <w:ind w:firstLine="720"/>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 xml:space="preserve">Findings of the PLS-SEM give a more in-depth insight into such relationships. Although financial education enhances awareness, its effects are not very strong compared to behavioural influences. This brings to the fore a critical disconnection between the acquisition of knowledge and behaviour change. Here, investment apps come in as significant yet incomplete solutions. They have managed to open access doors and enhance access to information. Nevertheless, their existing strategy might be too weak to deal with behavioural biases and offer the new investors the extent of advice needed (Nathanael &amp; </w:t>
      </w:r>
      <w:proofErr w:type="spellStart"/>
      <w:r w:rsidRPr="007364BD">
        <w:rPr>
          <w:rFonts w:ascii="Arial" w:eastAsia="Times New Roman" w:hAnsi="Arial"/>
          <w:color w:val="000000" w:themeColor="text1"/>
          <w:sz w:val="20"/>
          <w:szCs w:val="20"/>
        </w:rPr>
        <w:t>Ngollo</w:t>
      </w:r>
      <w:proofErr w:type="spellEnd"/>
      <w:r w:rsidRPr="007364BD">
        <w:rPr>
          <w:rFonts w:ascii="Arial" w:eastAsia="Times New Roman" w:hAnsi="Arial"/>
          <w:color w:val="000000" w:themeColor="text1"/>
          <w:sz w:val="20"/>
          <w:szCs w:val="20"/>
        </w:rPr>
        <w:t xml:space="preserve">, 2025; Freibauer et al., 2024). Investment apps are evolving from a transactional platform to an educational </w:t>
      </w:r>
      <w:r w:rsidRPr="007364BD">
        <w:rPr>
          <w:rFonts w:ascii="Arial" w:eastAsia="Times New Roman" w:hAnsi="Arial"/>
          <w:color w:val="000000" w:themeColor="text1"/>
          <w:sz w:val="20"/>
          <w:szCs w:val="20"/>
        </w:rPr>
        <w:t>ecosystem, but their current effect is not high enough to dismantle the effects of investor barriers comprehensively.</w:t>
      </w:r>
    </w:p>
    <w:p w14:paraId="70010CB3" w14:textId="77777777" w:rsidR="00A14608" w:rsidRPr="007364BD" w:rsidRDefault="00000000" w:rsidP="004E1F91">
      <w:pPr>
        <w:pStyle w:val="Heading1"/>
        <w:keepNext w:val="0"/>
        <w:keepLines w:val="0"/>
        <w:spacing w:before="0" w:after="0" w:line="276" w:lineRule="auto"/>
        <w:rPr>
          <w:rFonts w:ascii="Arial" w:eastAsia="Times New Roman" w:hAnsi="Arial"/>
          <w:b/>
          <w:bCs/>
          <w:color w:val="000000" w:themeColor="text1"/>
          <w:sz w:val="20"/>
          <w:szCs w:val="20"/>
        </w:rPr>
      </w:pPr>
      <w:bookmarkStart w:id="16" w:name="_2xuywz1apo0z" w:colFirst="0" w:colLast="0"/>
      <w:bookmarkEnd w:id="16"/>
      <w:r w:rsidRPr="007364BD">
        <w:rPr>
          <w:rFonts w:ascii="Arial" w:eastAsia="Times New Roman" w:hAnsi="Arial"/>
          <w:b/>
          <w:bCs/>
          <w:color w:val="000000" w:themeColor="text1"/>
          <w:sz w:val="20"/>
          <w:szCs w:val="20"/>
        </w:rPr>
        <w:t xml:space="preserve">CONCLUSION </w:t>
      </w:r>
    </w:p>
    <w:p w14:paraId="73511082" w14:textId="267889C3" w:rsidR="00A14608" w:rsidRPr="007364BD" w:rsidRDefault="00000000" w:rsidP="004E1F91">
      <w:pPr>
        <w:spacing w:line="276" w:lineRule="auto"/>
        <w:ind w:firstLine="720"/>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 xml:space="preserve">This paper proves that, as much as financial education is important in enhancing investor awareness, it is not enough to propel any meaningful participation in the securities market. </w:t>
      </w:r>
      <w:r w:rsidR="00201C9F" w:rsidRPr="007364BD">
        <w:rPr>
          <w:rFonts w:ascii="Arial" w:eastAsia="Times New Roman" w:hAnsi="Arial"/>
          <w:color w:val="000000" w:themeColor="text1"/>
          <w:sz w:val="20"/>
          <w:szCs w:val="20"/>
        </w:rPr>
        <w:t xml:space="preserve">The findings indicate that the most predominant barriers continue to be behavioural constraints, including fear of loss, mistrust and perceived complexity. Application </w:t>
      </w:r>
      <w:proofErr w:type="spellStart"/>
      <w:r w:rsidR="00201C9F" w:rsidRPr="007364BD">
        <w:rPr>
          <w:rFonts w:ascii="Arial" w:eastAsia="Times New Roman" w:hAnsi="Arial"/>
          <w:color w:val="000000" w:themeColor="text1"/>
          <w:sz w:val="20"/>
          <w:szCs w:val="20"/>
        </w:rPr>
        <w:t>application</w:t>
      </w:r>
      <w:proofErr w:type="spellEnd"/>
      <w:r w:rsidR="00201C9F" w:rsidRPr="007364BD">
        <w:rPr>
          <w:rFonts w:ascii="Arial" w:eastAsia="Times New Roman" w:hAnsi="Arial"/>
          <w:color w:val="000000" w:themeColor="text1"/>
          <w:sz w:val="20"/>
          <w:szCs w:val="20"/>
        </w:rPr>
        <w:t xml:space="preserve"> and digital spaces have the potential to become agents of financial literacy as the analysis has demonstrated. However, they will be effective to the extent that they will be integrative of education and behavioural support and simplified user experiences. The Indian securities market provides a huge blue ocean opportunity and a huge untapped base of investors. The problem of awareness to participation should be more of a holistic one, than information dissemination.</w:t>
      </w:r>
    </w:p>
    <w:p w14:paraId="07F33135" w14:textId="77777777" w:rsidR="00A14608" w:rsidRPr="007364BD" w:rsidRDefault="00000000" w:rsidP="004E1F91">
      <w:pPr>
        <w:pStyle w:val="Heading1"/>
        <w:keepNext w:val="0"/>
        <w:keepLines w:val="0"/>
        <w:spacing w:before="0" w:after="0" w:line="276" w:lineRule="auto"/>
        <w:rPr>
          <w:rFonts w:ascii="Arial" w:eastAsia="Times New Roman" w:hAnsi="Arial"/>
          <w:b/>
          <w:bCs/>
          <w:color w:val="000000" w:themeColor="text1"/>
          <w:sz w:val="20"/>
          <w:szCs w:val="20"/>
        </w:rPr>
      </w:pPr>
      <w:bookmarkStart w:id="17" w:name="_tno2ax9pvxvb" w:colFirst="0" w:colLast="0"/>
      <w:bookmarkEnd w:id="17"/>
      <w:r w:rsidRPr="007364BD">
        <w:rPr>
          <w:rFonts w:ascii="Arial" w:eastAsia="Times New Roman" w:hAnsi="Arial"/>
          <w:b/>
          <w:bCs/>
          <w:color w:val="000000" w:themeColor="text1"/>
          <w:sz w:val="20"/>
          <w:szCs w:val="20"/>
        </w:rPr>
        <w:t xml:space="preserve">IMPLICATIONS </w:t>
      </w:r>
    </w:p>
    <w:p w14:paraId="17B379F9" w14:textId="141243C6" w:rsidR="00A14608" w:rsidRPr="007364BD" w:rsidRDefault="00201C9F" w:rsidP="004E1F91">
      <w:pPr>
        <w:spacing w:line="276" w:lineRule="auto"/>
        <w:ind w:firstLine="720"/>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Investment platforms should adopt an education-first approach with a focus on simplified, structured, and guided learning. It can be simplified through onboarding that includes detailed instructions and tutorials and customized advice to create user confidence. Moreover, platforms should also have behavioural nudges, such as risk warnings, goal-based investing products, and decision support, to overcome psychological barriers. Policymakers are supposed to improve Investor Education Programs (IEP) with the digital consumption trends. Regional language content, visual learning, and delivery on a platform basis should be given attention. In addition, the policies should not be simply focused on increasing the level of awareness but also to reduce the behavioural barriers through intervention with particular measures in order that the financial inclusion initiatives can be translated into a tangible market presence.</w:t>
      </w:r>
    </w:p>
    <w:p w14:paraId="5B5B1661" w14:textId="77777777" w:rsidR="00A14608" w:rsidRPr="007364BD" w:rsidRDefault="00A14608" w:rsidP="004E1F91">
      <w:pPr>
        <w:spacing w:line="276" w:lineRule="auto"/>
        <w:rPr>
          <w:rFonts w:ascii="Arial" w:eastAsia="Times New Roman" w:hAnsi="Arial"/>
          <w:color w:val="000000" w:themeColor="text1"/>
          <w:sz w:val="20"/>
          <w:szCs w:val="20"/>
        </w:rPr>
      </w:pPr>
    </w:p>
    <w:p w14:paraId="507667AC" w14:textId="77777777" w:rsidR="00A14608" w:rsidRPr="007364BD" w:rsidRDefault="00000000" w:rsidP="004E1F91">
      <w:pPr>
        <w:spacing w:line="276" w:lineRule="auto"/>
        <w:rPr>
          <w:rFonts w:ascii="Arial" w:eastAsia="Times New Roman" w:hAnsi="Arial"/>
          <w:color w:val="000000" w:themeColor="text1"/>
          <w:sz w:val="20"/>
          <w:szCs w:val="20"/>
        </w:rPr>
      </w:pPr>
      <w:r w:rsidRPr="007364BD">
        <w:rPr>
          <w:rFonts w:ascii="Arial" w:hAnsi="Arial"/>
          <w:color w:val="000000" w:themeColor="text1"/>
          <w:sz w:val="20"/>
          <w:szCs w:val="20"/>
        </w:rPr>
        <w:br w:type="page"/>
      </w:r>
    </w:p>
    <w:p w14:paraId="6974028E" w14:textId="77777777" w:rsidR="00A14608" w:rsidRPr="007364BD" w:rsidRDefault="00000000" w:rsidP="004E1F91">
      <w:pPr>
        <w:spacing w:line="276" w:lineRule="auto"/>
        <w:rPr>
          <w:rFonts w:ascii="Arial" w:eastAsia="Times New Roman" w:hAnsi="Arial"/>
          <w:b/>
          <w:bCs/>
          <w:color w:val="000000" w:themeColor="text1"/>
          <w:sz w:val="20"/>
          <w:szCs w:val="20"/>
        </w:rPr>
      </w:pPr>
      <w:r w:rsidRPr="007364BD">
        <w:rPr>
          <w:rFonts w:ascii="Arial" w:eastAsia="Times New Roman" w:hAnsi="Arial"/>
          <w:b/>
          <w:bCs/>
          <w:color w:val="000000" w:themeColor="text1"/>
          <w:sz w:val="20"/>
          <w:szCs w:val="20"/>
        </w:rPr>
        <w:lastRenderedPageBreak/>
        <w:t>References</w:t>
      </w:r>
    </w:p>
    <w:p w14:paraId="23B3445C" w14:textId="77777777" w:rsidR="00A304B4" w:rsidRPr="007364BD" w:rsidRDefault="00A304B4" w:rsidP="004E1F91">
      <w:pPr>
        <w:spacing w:line="276" w:lineRule="auto"/>
        <w:ind w:left="720" w:hanging="720"/>
        <w:rPr>
          <w:rFonts w:ascii="Arial" w:eastAsia="Times New Roman" w:hAnsi="Arial"/>
          <w:color w:val="000000" w:themeColor="text1"/>
          <w:sz w:val="20"/>
          <w:szCs w:val="20"/>
          <w:lang w:val="en-ZW"/>
        </w:rPr>
      </w:pPr>
      <w:r w:rsidRPr="007364BD">
        <w:rPr>
          <w:rFonts w:ascii="Arial" w:eastAsia="Times New Roman" w:hAnsi="Arial"/>
          <w:color w:val="000000" w:themeColor="text1"/>
          <w:sz w:val="20"/>
          <w:szCs w:val="20"/>
          <w:lang w:val="en-ZW"/>
        </w:rPr>
        <w:t xml:space="preserve">Adielyani, D. (2025). FINTECH ACCESS AND DIGITAL FINANCIAL LITERACY ON FINANCIAL BEHAVIOR IN THE DIGITAL ERA: THE MEDIATION ROLE OF FINANCIAL SELF-CONTROL. Among Makarti, 18(2), 285. </w:t>
      </w:r>
      <w:hyperlink r:id="rId12" w:history="1">
        <w:r w:rsidRPr="007364BD">
          <w:rPr>
            <w:rStyle w:val="Hyperlink"/>
            <w:rFonts w:ascii="Arial" w:eastAsia="Times New Roman" w:hAnsi="Arial"/>
            <w:color w:val="000000" w:themeColor="text1"/>
            <w:sz w:val="20"/>
            <w:szCs w:val="20"/>
            <w:lang w:val="en-ZW"/>
          </w:rPr>
          <w:t>https://doi.org/10.52353/ama.v18i2.912</w:t>
        </w:r>
      </w:hyperlink>
      <w:r w:rsidRPr="007364BD">
        <w:rPr>
          <w:rFonts w:ascii="Arial" w:eastAsia="Times New Roman" w:hAnsi="Arial"/>
          <w:color w:val="000000" w:themeColor="text1"/>
          <w:sz w:val="20"/>
          <w:szCs w:val="20"/>
          <w:lang w:val="en-ZW"/>
        </w:rPr>
        <w:t> </w:t>
      </w:r>
    </w:p>
    <w:p w14:paraId="2F524894" w14:textId="77777777" w:rsidR="00A304B4" w:rsidRPr="007364BD" w:rsidRDefault="00A304B4" w:rsidP="004E1F91">
      <w:pPr>
        <w:spacing w:line="276" w:lineRule="auto"/>
        <w:ind w:left="720" w:hanging="720"/>
        <w:rPr>
          <w:rFonts w:ascii="Arial" w:eastAsia="Times New Roman" w:hAnsi="Arial"/>
          <w:color w:val="000000" w:themeColor="text1"/>
          <w:sz w:val="20"/>
          <w:szCs w:val="20"/>
          <w:lang w:val="en-ZW"/>
        </w:rPr>
      </w:pPr>
      <w:r w:rsidRPr="007364BD">
        <w:rPr>
          <w:rFonts w:ascii="Arial" w:eastAsia="Times New Roman" w:hAnsi="Arial"/>
          <w:color w:val="000000" w:themeColor="text1"/>
          <w:sz w:val="20"/>
          <w:szCs w:val="20"/>
          <w:lang w:val="en-ZW"/>
        </w:rPr>
        <w:t xml:space="preserve">Aidil Fadli, J. (2024). Measuring the Level of Digital Financial Literacy  Among Generation Y and Z in Indonesia. </w:t>
      </w:r>
      <w:proofErr w:type="spellStart"/>
      <w:r w:rsidRPr="007364BD">
        <w:rPr>
          <w:rFonts w:ascii="Arial" w:eastAsia="Times New Roman" w:hAnsi="Arial"/>
          <w:color w:val="000000" w:themeColor="text1"/>
          <w:sz w:val="20"/>
          <w:szCs w:val="20"/>
          <w:lang w:val="en-ZW"/>
        </w:rPr>
        <w:t>Jurnal</w:t>
      </w:r>
      <w:proofErr w:type="spellEnd"/>
      <w:r w:rsidRPr="007364BD">
        <w:rPr>
          <w:rFonts w:ascii="Arial" w:eastAsia="Times New Roman" w:hAnsi="Arial"/>
          <w:color w:val="000000" w:themeColor="text1"/>
          <w:sz w:val="20"/>
          <w:szCs w:val="20"/>
          <w:lang w:val="en-ZW"/>
        </w:rPr>
        <w:t xml:space="preserve"> </w:t>
      </w:r>
      <w:proofErr w:type="spellStart"/>
      <w:r w:rsidRPr="007364BD">
        <w:rPr>
          <w:rFonts w:ascii="Arial" w:eastAsia="Times New Roman" w:hAnsi="Arial"/>
          <w:color w:val="000000" w:themeColor="text1"/>
          <w:sz w:val="20"/>
          <w:szCs w:val="20"/>
          <w:lang w:val="en-ZW"/>
        </w:rPr>
        <w:t>Ilmiah</w:t>
      </w:r>
      <w:proofErr w:type="spellEnd"/>
      <w:r w:rsidRPr="007364BD">
        <w:rPr>
          <w:rFonts w:ascii="Arial" w:eastAsia="Times New Roman" w:hAnsi="Arial"/>
          <w:color w:val="000000" w:themeColor="text1"/>
          <w:sz w:val="20"/>
          <w:szCs w:val="20"/>
          <w:lang w:val="en-ZW"/>
        </w:rPr>
        <w:t xml:space="preserve"> </w:t>
      </w:r>
      <w:proofErr w:type="spellStart"/>
      <w:r w:rsidRPr="007364BD">
        <w:rPr>
          <w:rFonts w:ascii="Arial" w:eastAsia="Times New Roman" w:hAnsi="Arial"/>
          <w:color w:val="000000" w:themeColor="text1"/>
          <w:sz w:val="20"/>
          <w:szCs w:val="20"/>
          <w:lang w:val="en-ZW"/>
        </w:rPr>
        <w:t>Manajemen</w:t>
      </w:r>
      <w:proofErr w:type="spellEnd"/>
      <w:r w:rsidRPr="007364BD">
        <w:rPr>
          <w:rFonts w:ascii="Arial" w:eastAsia="Times New Roman" w:hAnsi="Arial"/>
          <w:color w:val="000000" w:themeColor="text1"/>
          <w:sz w:val="20"/>
          <w:szCs w:val="20"/>
          <w:lang w:val="en-ZW"/>
        </w:rPr>
        <w:t xml:space="preserve"> Kesatuan, 12(5), 1891–1898. </w:t>
      </w:r>
      <w:hyperlink r:id="rId13" w:history="1">
        <w:r w:rsidRPr="007364BD">
          <w:rPr>
            <w:rStyle w:val="Hyperlink"/>
            <w:rFonts w:ascii="Arial" w:eastAsia="Times New Roman" w:hAnsi="Arial"/>
            <w:color w:val="000000" w:themeColor="text1"/>
            <w:sz w:val="20"/>
            <w:szCs w:val="20"/>
            <w:lang w:val="en-ZW"/>
          </w:rPr>
          <w:t>https://doi.org/10.37641/jimkes.v12i5.2813</w:t>
        </w:r>
      </w:hyperlink>
      <w:r w:rsidRPr="007364BD">
        <w:rPr>
          <w:rFonts w:ascii="Arial" w:eastAsia="Times New Roman" w:hAnsi="Arial"/>
          <w:color w:val="000000" w:themeColor="text1"/>
          <w:sz w:val="20"/>
          <w:szCs w:val="20"/>
          <w:lang w:val="en-ZW"/>
        </w:rPr>
        <w:t> </w:t>
      </w:r>
    </w:p>
    <w:p w14:paraId="02B7105D" w14:textId="77777777" w:rsidR="00A304B4" w:rsidRPr="007364BD" w:rsidRDefault="00A304B4" w:rsidP="004E1F91">
      <w:pPr>
        <w:spacing w:line="276" w:lineRule="auto"/>
        <w:ind w:left="720" w:hanging="720"/>
        <w:rPr>
          <w:rFonts w:ascii="Arial" w:eastAsia="Times New Roman" w:hAnsi="Arial"/>
          <w:color w:val="000000" w:themeColor="text1"/>
          <w:sz w:val="20"/>
          <w:szCs w:val="20"/>
        </w:rPr>
      </w:pPr>
      <w:proofErr w:type="spellStart"/>
      <w:r w:rsidRPr="007364BD">
        <w:rPr>
          <w:rFonts w:ascii="Arial" w:eastAsia="Times New Roman" w:hAnsi="Arial"/>
          <w:color w:val="000000" w:themeColor="text1"/>
          <w:sz w:val="20"/>
          <w:szCs w:val="20"/>
        </w:rPr>
        <w:t>Albuainain</w:t>
      </w:r>
      <w:proofErr w:type="spellEnd"/>
      <w:r w:rsidRPr="007364BD">
        <w:rPr>
          <w:rFonts w:ascii="Arial" w:eastAsia="Times New Roman" w:hAnsi="Arial"/>
          <w:color w:val="000000" w:themeColor="text1"/>
          <w:sz w:val="20"/>
          <w:szCs w:val="20"/>
        </w:rPr>
        <w:t xml:space="preserve">, A., &amp; Ashby, S. (2025). Enablers and Barriers in FinTech Adoption: A Systematic Literature Review of Customer Adoption and Its Impact on Bank Performance. FinTech, 4(3), 49. </w:t>
      </w:r>
      <w:hyperlink r:id="rId14" w:history="1">
        <w:r w:rsidRPr="007364BD">
          <w:rPr>
            <w:rStyle w:val="Hyperlink"/>
            <w:rFonts w:ascii="Arial" w:eastAsia="Times New Roman" w:hAnsi="Arial"/>
            <w:color w:val="000000" w:themeColor="text1"/>
            <w:sz w:val="20"/>
            <w:szCs w:val="20"/>
          </w:rPr>
          <w:t>https://doi.org/10.3390/fintech4030049</w:t>
        </w:r>
      </w:hyperlink>
      <w:r w:rsidRPr="007364BD">
        <w:rPr>
          <w:rFonts w:ascii="Arial" w:eastAsia="Times New Roman" w:hAnsi="Arial"/>
          <w:color w:val="000000" w:themeColor="text1"/>
          <w:sz w:val="20"/>
          <w:szCs w:val="20"/>
        </w:rPr>
        <w:t xml:space="preserve"> </w:t>
      </w:r>
    </w:p>
    <w:p w14:paraId="43FB74E9" w14:textId="77777777" w:rsidR="00A304B4" w:rsidRPr="007364BD" w:rsidRDefault="00A304B4" w:rsidP="004E1F91">
      <w:pPr>
        <w:spacing w:line="276" w:lineRule="auto"/>
        <w:ind w:left="720" w:hanging="720"/>
        <w:rPr>
          <w:rFonts w:ascii="Arial" w:eastAsia="Times New Roman" w:hAnsi="Arial"/>
          <w:color w:val="000000" w:themeColor="text1"/>
          <w:sz w:val="20"/>
          <w:szCs w:val="20"/>
        </w:rPr>
      </w:pPr>
      <w:proofErr w:type="spellStart"/>
      <w:r w:rsidRPr="007364BD">
        <w:rPr>
          <w:rFonts w:ascii="Arial" w:eastAsia="Times New Roman" w:hAnsi="Arial"/>
          <w:color w:val="000000" w:themeColor="text1"/>
          <w:sz w:val="20"/>
          <w:szCs w:val="20"/>
        </w:rPr>
        <w:t>Alzaben</w:t>
      </w:r>
      <w:proofErr w:type="spellEnd"/>
      <w:r w:rsidRPr="007364BD">
        <w:rPr>
          <w:rFonts w:ascii="Arial" w:eastAsia="Times New Roman" w:hAnsi="Arial"/>
          <w:color w:val="000000" w:themeColor="text1"/>
          <w:sz w:val="20"/>
          <w:szCs w:val="20"/>
        </w:rPr>
        <w:t xml:space="preserve">, A. S., Almansour, M., Alzahrani, H. S., </w:t>
      </w:r>
      <w:proofErr w:type="spellStart"/>
      <w:r w:rsidRPr="007364BD">
        <w:rPr>
          <w:rFonts w:ascii="Arial" w:eastAsia="Times New Roman" w:hAnsi="Arial"/>
          <w:color w:val="000000" w:themeColor="text1"/>
          <w:sz w:val="20"/>
          <w:szCs w:val="20"/>
        </w:rPr>
        <w:t>Alrumaihi</w:t>
      </w:r>
      <w:proofErr w:type="spellEnd"/>
      <w:r w:rsidRPr="007364BD">
        <w:rPr>
          <w:rFonts w:ascii="Arial" w:eastAsia="Times New Roman" w:hAnsi="Arial"/>
          <w:color w:val="000000" w:themeColor="text1"/>
          <w:sz w:val="20"/>
          <w:szCs w:val="20"/>
        </w:rPr>
        <w:t xml:space="preserve">, N. A., </w:t>
      </w:r>
      <w:proofErr w:type="spellStart"/>
      <w:r w:rsidRPr="007364BD">
        <w:rPr>
          <w:rFonts w:ascii="Arial" w:eastAsia="Times New Roman" w:hAnsi="Arial"/>
          <w:color w:val="000000" w:themeColor="text1"/>
          <w:sz w:val="20"/>
          <w:szCs w:val="20"/>
        </w:rPr>
        <w:t>Alhamedi</w:t>
      </w:r>
      <w:proofErr w:type="spellEnd"/>
      <w:r w:rsidRPr="007364BD">
        <w:rPr>
          <w:rFonts w:ascii="Arial" w:eastAsia="Times New Roman" w:hAnsi="Arial"/>
          <w:color w:val="000000" w:themeColor="text1"/>
          <w:sz w:val="20"/>
          <w:szCs w:val="20"/>
        </w:rPr>
        <w:t xml:space="preserve">, N. M., </w:t>
      </w:r>
      <w:proofErr w:type="spellStart"/>
      <w:r w:rsidRPr="007364BD">
        <w:rPr>
          <w:rFonts w:ascii="Arial" w:eastAsia="Times New Roman" w:hAnsi="Arial"/>
          <w:color w:val="000000" w:themeColor="text1"/>
          <w:sz w:val="20"/>
          <w:szCs w:val="20"/>
        </w:rPr>
        <w:t>Albuhayjan</w:t>
      </w:r>
      <w:proofErr w:type="spellEnd"/>
      <w:r w:rsidRPr="007364BD">
        <w:rPr>
          <w:rFonts w:ascii="Arial" w:eastAsia="Times New Roman" w:hAnsi="Arial"/>
          <w:color w:val="000000" w:themeColor="text1"/>
          <w:sz w:val="20"/>
          <w:szCs w:val="20"/>
        </w:rPr>
        <w:t xml:space="preserve">, N. A., &amp; </w:t>
      </w:r>
      <w:proofErr w:type="spellStart"/>
      <w:r w:rsidRPr="007364BD">
        <w:rPr>
          <w:rFonts w:ascii="Arial" w:eastAsia="Times New Roman" w:hAnsi="Arial"/>
          <w:color w:val="000000" w:themeColor="text1"/>
          <w:sz w:val="20"/>
          <w:szCs w:val="20"/>
        </w:rPr>
        <w:t>Aljammaz</w:t>
      </w:r>
      <w:proofErr w:type="spellEnd"/>
      <w:r w:rsidRPr="007364BD">
        <w:rPr>
          <w:rFonts w:ascii="Arial" w:eastAsia="Times New Roman" w:hAnsi="Arial"/>
          <w:color w:val="000000" w:themeColor="text1"/>
          <w:sz w:val="20"/>
          <w:szCs w:val="20"/>
        </w:rPr>
        <w:t xml:space="preserve">, S. A. (2024). Development of Valid and Reliable Questionnaire to Evaluate Knowledge, Attitude, and Practices (KAP) of Lifestyle Medicine Domains. Healthcare, 12(16), 1652. </w:t>
      </w:r>
      <w:hyperlink r:id="rId15" w:history="1">
        <w:r w:rsidRPr="007364BD">
          <w:rPr>
            <w:rStyle w:val="Hyperlink"/>
            <w:rFonts w:ascii="Arial" w:eastAsia="Times New Roman" w:hAnsi="Arial"/>
            <w:color w:val="000000" w:themeColor="text1"/>
            <w:sz w:val="20"/>
            <w:szCs w:val="20"/>
          </w:rPr>
          <w:t>https://doi.org/10.3390/healthcare12161652</w:t>
        </w:r>
      </w:hyperlink>
      <w:r w:rsidRPr="007364BD">
        <w:rPr>
          <w:rFonts w:ascii="Arial" w:eastAsia="Times New Roman" w:hAnsi="Arial"/>
          <w:color w:val="000000" w:themeColor="text1"/>
          <w:sz w:val="20"/>
          <w:szCs w:val="20"/>
        </w:rPr>
        <w:t xml:space="preserve"> </w:t>
      </w:r>
    </w:p>
    <w:p w14:paraId="20C0E02C" w14:textId="77777777" w:rsidR="00A304B4" w:rsidRPr="007364BD" w:rsidRDefault="00A304B4" w:rsidP="004E1F91">
      <w:pPr>
        <w:spacing w:line="276" w:lineRule="auto"/>
        <w:ind w:left="720" w:hanging="720"/>
        <w:rPr>
          <w:rFonts w:ascii="Arial" w:eastAsia="Times New Roman" w:hAnsi="Arial"/>
          <w:color w:val="000000" w:themeColor="text1"/>
          <w:sz w:val="20"/>
          <w:szCs w:val="20"/>
          <w:lang w:val="en-ZW"/>
        </w:rPr>
      </w:pPr>
      <w:r w:rsidRPr="007364BD">
        <w:rPr>
          <w:rFonts w:ascii="Arial" w:eastAsia="Times New Roman" w:hAnsi="Arial"/>
          <w:color w:val="000000" w:themeColor="text1"/>
          <w:sz w:val="20"/>
          <w:szCs w:val="20"/>
          <w:lang w:val="en-ZW"/>
        </w:rPr>
        <w:t xml:space="preserve">Angel One. (2026a). </w:t>
      </w:r>
      <w:r w:rsidRPr="007364BD">
        <w:rPr>
          <w:rFonts w:ascii="Arial" w:eastAsia="Times New Roman" w:hAnsi="Arial"/>
          <w:i/>
          <w:iCs/>
          <w:color w:val="000000" w:themeColor="text1"/>
          <w:sz w:val="20"/>
          <w:szCs w:val="20"/>
          <w:lang w:val="en-ZW"/>
        </w:rPr>
        <w:t xml:space="preserve">Knowledge </w:t>
      </w:r>
      <w:proofErr w:type="spellStart"/>
      <w:r w:rsidRPr="007364BD">
        <w:rPr>
          <w:rFonts w:ascii="Arial" w:eastAsia="Times New Roman" w:hAnsi="Arial"/>
          <w:i/>
          <w:iCs/>
          <w:color w:val="000000" w:themeColor="text1"/>
          <w:sz w:val="20"/>
          <w:szCs w:val="20"/>
          <w:lang w:val="en-ZW"/>
        </w:rPr>
        <w:t>center</w:t>
      </w:r>
      <w:proofErr w:type="spellEnd"/>
      <w:r w:rsidRPr="007364BD">
        <w:rPr>
          <w:rFonts w:ascii="Arial" w:eastAsia="Times New Roman" w:hAnsi="Arial"/>
          <w:color w:val="000000" w:themeColor="text1"/>
          <w:sz w:val="20"/>
          <w:szCs w:val="20"/>
          <w:lang w:val="en-ZW"/>
        </w:rPr>
        <w:t>. Retrieved April 14, 2026, from</w:t>
      </w:r>
      <w:hyperlink r:id="rId16" w:history="1">
        <w:r w:rsidRPr="007364BD">
          <w:rPr>
            <w:rStyle w:val="Hyperlink"/>
            <w:rFonts w:ascii="Arial" w:eastAsia="Times New Roman" w:hAnsi="Arial"/>
            <w:color w:val="000000" w:themeColor="text1"/>
            <w:sz w:val="20"/>
            <w:szCs w:val="20"/>
            <w:lang w:val="en-ZW"/>
          </w:rPr>
          <w:t xml:space="preserve"> https://www.angelone.in/knowledge-center</w:t>
        </w:r>
      </w:hyperlink>
    </w:p>
    <w:p w14:paraId="2264B414" w14:textId="77777777" w:rsidR="00A304B4" w:rsidRPr="007364BD" w:rsidRDefault="00A304B4" w:rsidP="004E1F91">
      <w:pPr>
        <w:spacing w:line="276" w:lineRule="auto"/>
        <w:ind w:left="720" w:hanging="720"/>
        <w:rPr>
          <w:rFonts w:ascii="Arial" w:eastAsia="Times New Roman" w:hAnsi="Arial"/>
          <w:color w:val="000000" w:themeColor="text1"/>
          <w:sz w:val="20"/>
          <w:szCs w:val="20"/>
          <w:lang w:val="en-ZW"/>
        </w:rPr>
      </w:pPr>
      <w:r w:rsidRPr="007364BD">
        <w:rPr>
          <w:rFonts w:ascii="Arial" w:eastAsia="Times New Roman" w:hAnsi="Arial"/>
          <w:color w:val="000000" w:themeColor="text1"/>
          <w:sz w:val="20"/>
          <w:szCs w:val="20"/>
          <w:lang w:val="en-ZW"/>
        </w:rPr>
        <w:t xml:space="preserve">Angel One. (2026b). </w:t>
      </w:r>
      <w:r w:rsidRPr="007364BD">
        <w:rPr>
          <w:rFonts w:ascii="Arial" w:eastAsia="Times New Roman" w:hAnsi="Arial"/>
          <w:i/>
          <w:iCs/>
          <w:color w:val="000000" w:themeColor="text1"/>
          <w:sz w:val="20"/>
          <w:szCs w:val="20"/>
          <w:lang w:val="en-ZW"/>
        </w:rPr>
        <w:t>User manual: Home</w:t>
      </w:r>
      <w:r w:rsidRPr="007364BD">
        <w:rPr>
          <w:rFonts w:ascii="Arial" w:eastAsia="Times New Roman" w:hAnsi="Arial"/>
          <w:color w:val="000000" w:themeColor="text1"/>
          <w:sz w:val="20"/>
          <w:szCs w:val="20"/>
          <w:lang w:val="en-ZW"/>
        </w:rPr>
        <w:t>. Retrieved April 14, 2026, from</w:t>
      </w:r>
      <w:hyperlink r:id="rId17" w:history="1">
        <w:r w:rsidRPr="007364BD">
          <w:rPr>
            <w:rStyle w:val="Hyperlink"/>
            <w:rFonts w:ascii="Arial" w:eastAsia="Times New Roman" w:hAnsi="Arial"/>
            <w:color w:val="000000" w:themeColor="text1"/>
            <w:sz w:val="20"/>
            <w:szCs w:val="20"/>
            <w:lang w:val="en-ZW"/>
          </w:rPr>
          <w:t xml:space="preserve"> https://www.angelone.in/knowledge-center/user-manual/home</w:t>
        </w:r>
      </w:hyperlink>
      <w:r w:rsidRPr="007364BD">
        <w:rPr>
          <w:rFonts w:ascii="Arial" w:eastAsia="Times New Roman" w:hAnsi="Arial"/>
          <w:color w:val="000000" w:themeColor="text1"/>
          <w:sz w:val="20"/>
          <w:szCs w:val="20"/>
          <w:lang w:val="en-ZW"/>
        </w:rPr>
        <w:t>  </w:t>
      </w:r>
    </w:p>
    <w:p w14:paraId="0C5D30AC" w14:textId="77777777" w:rsidR="00A304B4" w:rsidRPr="007364BD" w:rsidRDefault="00A304B4" w:rsidP="004E1F91">
      <w:pPr>
        <w:spacing w:line="276" w:lineRule="auto"/>
        <w:ind w:left="720" w:hanging="720"/>
        <w:rPr>
          <w:rFonts w:ascii="Arial" w:eastAsia="Times New Roman" w:hAnsi="Arial"/>
          <w:color w:val="000000" w:themeColor="text1"/>
          <w:sz w:val="20"/>
          <w:szCs w:val="20"/>
          <w:lang w:val="en-ZW"/>
        </w:rPr>
      </w:pPr>
      <w:r w:rsidRPr="007364BD">
        <w:rPr>
          <w:rFonts w:ascii="Arial" w:eastAsia="Times New Roman" w:hAnsi="Arial"/>
          <w:color w:val="000000" w:themeColor="text1"/>
          <w:sz w:val="20"/>
          <w:szCs w:val="20"/>
          <w:lang w:val="en-ZW"/>
        </w:rPr>
        <w:t xml:space="preserve">Angel One. (2026c). </w:t>
      </w:r>
      <w:r w:rsidRPr="007364BD">
        <w:rPr>
          <w:rFonts w:ascii="Arial" w:eastAsia="Times New Roman" w:hAnsi="Arial"/>
          <w:i/>
          <w:iCs/>
          <w:color w:val="000000" w:themeColor="text1"/>
          <w:sz w:val="20"/>
          <w:szCs w:val="20"/>
          <w:lang w:val="en-ZW"/>
        </w:rPr>
        <w:t>Smart Money: Trading courses</w:t>
      </w:r>
      <w:r w:rsidRPr="007364BD">
        <w:rPr>
          <w:rFonts w:ascii="Arial" w:eastAsia="Times New Roman" w:hAnsi="Arial"/>
          <w:color w:val="000000" w:themeColor="text1"/>
          <w:sz w:val="20"/>
          <w:szCs w:val="20"/>
          <w:lang w:val="en-ZW"/>
        </w:rPr>
        <w:t>. Retrieved April 14, 2026, from</w:t>
      </w:r>
      <w:hyperlink r:id="rId18" w:history="1">
        <w:r w:rsidRPr="007364BD">
          <w:rPr>
            <w:rStyle w:val="Hyperlink"/>
            <w:rFonts w:ascii="Arial" w:eastAsia="Times New Roman" w:hAnsi="Arial"/>
            <w:color w:val="000000" w:themeColor="text1"/>
            <w:sz w:val="20"/>
            <w:szCs w:val="20"/>
            <w:lang w:val="en-ZW"/>
          </w:rPr>
          <w:t xml:space="preserve"> https://www.angelone.in/smart-money/trading-courses</w:t>
        </w:r>
      </w:hyperlink>
      <w:r w:rsidRPr="007364BD">
        <w:rPr>
          <w:rFonts w:ascii="Arial" w:eastAsia="Times New Roman" w:hAnsi="Arial"/>
          <w:color w:val="000000" w:themeColor="text1"/>
          <w:sz w:val="20"/>
          <w:szCs w:val="20"/>
          <w:lang w:val="en-ZW"/>
        </w:rPr>
        <w:t> </w:t>
      </w:r>
    </w:p>
    <w:p w14:paraId="6E20DBF2" w14:textId="77777777" w:rsidR="00A304B4" w:rsidRPr="007364BD" w:rsidRDefault="00A304B4" w:rsidP="004E1F91">
      <w:pPr>
        <w:spacing w:line="276" w:lineRule="auto"/>
        <w:ind w:left="720" w:hanging="720"/>
        <w:rPr>
          <w:rFonts w:ascii="Arial" w:eastAsia="Times New Roman" w:hAnsi="Arial"/>
          <w:color w:val="000000" w:themeColor="text1"/>
          <w:sz w:val="20"/>
          <w:szCs w:val="20"/>
          <w:lang w:val="en-ZW"/>
        </w:rPr>
      </w:pPr>
      <w:proofErr w:type="spellStart"/>
      <w:r w:rsidRPr="007364BD">
        <w:rPr>
          <w:rFonts w:ascii="Arial" w:eastAsia="Times New Roman" w:hAnsi="Arial"/>
          <w:color w:val="000000" w:themeColor="text1"/>
          <w:sz w:val="20"/>
          <w:szCs w:val="20"/>
          <w:lang w:val="en-ZW"/>
        </w:rPr>
        <w:t>Anggraini</w:t>
      </w:r>
      <w:proofErr w:type="spellEnd"/>
      <w:r w:rsidRPr="007364BD">
        <w:rPr>
          <w:rFonts w:ascii="Arial" w:eastAsia="Times New Roman" w:hAnsi="Arial"/>
          <w:color w:val="000000" w:themeColor="text1"/>
          <w:sz w:val="20"/>
          <w:szCs w:val="20"/>
          <w:lang w:val="en-ZW"/>
        </w:rPr>
        <w:t xml:space="preserve">, L. D., Santoso, A. R., &amp; Reyes, A. V. (2025). The Role of Fintech Adoption in Enhancing Financial Literacy and Financial Well-Being in Emerging Markets. Journal of Economics and Management, 3(3), 123–130. </w:t>
      </w:r>
      <w:hyperlink r:id="rId19" w:history="1">
        <w:r w:rsidRPr="007364BD">
          <w:rPr>
            <w:rStyle w:val="Hyperlink"/>
            <w:rFonts w:ascii="Arial" w:eastAsia="Times New Roman" w:hAnsi="Arial"/>
            <w:color w:val="000000" w:themeColor="text1"/>
            <w:sz w:val="20"/>
            <w:szCs w:val="20"/>
            <w:lang w:val="en-ZW"/>
          </w:rPr>
          <w:t>https://doi.org/10.70716/ecoma.v3i3.337</w:t>
        </w:r>
      </w:hyperlink>
      <w:r w:rsidRPr="007364BD">
        <w:rPr>
          <w:rFonts w:ascii="Arial" w:eastAsia="Times New Roman" w:hAnsi="Arial"/>
          <w:color w:val="000000" w:themeColor="text1"/>
          <w:sz w:val="20"/>
          <w:szCs w:val="20"/>
          <w:lang w:val="en-ZW"/>
        </w:rPr>
        <w:t> </w:t>
      </w:r>
    </w:p>
    <w:p w14:paraId="7DA2CC38" w14:textId="77777777" w:rsidR="00A304B4" w:rsidRPr="007364BD" w:rsidRDefault="00A304B4" w:rsidP="004E1F91">
      <w:pPr>
        <w:spacing w:line="276" w:lineRule="auto"/>
        <w:ind w:left="720" w:hanging="720"/>
        <w:rPr>
          <w:rFonts w:ascii="Arial" w:eastAsia="Times New Roman" w:hAnsi="Arial"/>
          <w:color w:val="000000" w:themeColor="text1"/>
          <w:sz w:val="20"/>
          <w:szCs w:val="20"/>
          <w:lang w:val="en-ZW"/>
        </w:rPr>
      </w:pPr>
      <w:r w:rsidRPr="007364BD">
        <w:rPr>
          <w:rFonts w:ascii="Arial" w:eastAsia="Times New Roman" w:hAnsi="Arial"/>
          <w:color w:val="000000" w:themeColor="text1"/>
          <w:sz w:val="20"/>
          <w:szCs w:val="20"/>
          <w:lang w:val="en-ZW"/>
        </w:rPr>
        <w:t xml:space="preserve">Aoun, D., Rahal, R., Sfeir, L., &amp; Jabbour Al Maalouf, N. (2026). Understanding Millennials’ Financial Behavior: The Role of Fintech Adoption, Financial Literacy, and the Mediating Effect of Financial Attitudes in a Crisis-Affected Emerging Economy. International Journal of Financial Studies, 14(2), 35. </w:t>
      </w:r>
      <w:hyperlink r:id="rId20" w:history="1">
        <w:r w:rsidRPr="007364BD">
          <w:rPr>
            <w:rStyle w:val="Hyperlink"/>
            <w:rFonts w:ascii="Arial" w:eastAsia="Times New Roman" w:hAnsi="Arial"/>
            <w:color w:val="000000" w:themeColor="text1"/>
            <w:sz w:val="20"/>
            <w:szCs w:val="20"/>
            <w:lang w:val="en-ZW"/>
          </w:rPr>
          <w:t>https://doi.org/10.3390/ijfs14020035</w:t>
        </w:r>
      </w:hyperlink>
      <w:r w:rsidRPr="007364BD">
        <w:rPr>
          <w:rFonts w:ascii="Arial" w:eastAsia="Times New Roman" w:hAnsi="Arial"/>
          <w:color w:val="000000" w:themeColor="text1"/>
          <w:sz w:val="20"/>
          <w:szCs w:val="20"/>
          <w:lang w:val="en-ZW"/>
        </w:rPr>
        <w:t> </w:t>
      </w:r>
    </w:p>
    <w:p w14:paraId="6981838A" w14:textId="77777777" w:rsidR="00A304B4" w:rsidRPr="007364BD" w:rsidRDefault="00A304B4" w:rsidP="004E1F91">
      <w:pPr>
        <w:spacing w:line="276" w:lineRule="auto"/>
        <w:ind w:left="720" w:hanging="720"/>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 xml:space="preserve">Baveja, G. S., &amp; Verma, A. (2024). Impact of Financial Literacy on Investment Decisions and Stock Market Participation using Extreme Learning Machines (Version 2). </w:t>
      </w:r>
      <w:proofErr w:type="spellStart"/>
      <w:r w:rsidRPr="007364BD">
        <w:rPr>
          <w:rFonts w:ascii="Arial" w:eastAsia="Times New Roman" w:hAnsi="Arial"/>
          <w:color w:val="000000" w:themeColor="text1"/>
          <w:sz w:val="20"/>
          <w:szCs w:val="20"/>
        </w:rPr>
        <w:t>arXiv</w:t>
      </w:r>
      <w:proofErr w:type="spellEnd"/>
      <w:r w:rsidRPr="007364BD">
        <w:rPr>
          <w:rFonts w:ascii="Arial" w:eastAsia="Times New Roman" w:hAnsi="Arial"/>
          <w:color w:val="000000" w:themeColor="text1"/>
          <w:sz w:val="20"/>
          <w:szCs w:val="20"/>
        </w:rPr>
        <w:t xml:space="preserve">. </w:t>
      </w:r>
      <w:hyperlink r:id="rId21">
        <w:r w:rsidRPr="007364BD">
          <w:rPr>
            <w:rFonts w:ascii="Arial" w:eastAsia="Times New Roman" w:hAnsi="Arial"/>
            <w:color w:val="000000" w:themeColor="text1"/>
            <w:sz w:val="20"/>
            <w:szCs w:val="20"/>
            <w:u w:val="single"/>
          </w:rPr>
          <w:t>https://doi.org/10.48550/ARXIV.2407.03498</w:t>
        </w:r>
      </w:hyperlink>
      <w:r w:rsidRPr="007364BD">
        <w:rPr>
          <w:rFonts w:ascii="Arial" w:eastAsia="Times New Roman" w:hAnsi="Arial"/>
          <w:color w:val="000000" w:themeColor="text1"/>
          <w:sz w:val="20"/>
          <w:szCs w:val="20"/>
        </w:rPr>
        <w:t xml:space="preserve"> </w:t>
      </w:r>
    </w:p>
    <w:p w14:paraId="28A0476F" w14:textId="77777777" w:rsidR="00A304B4" w:rsidRPr="007364BD" w:rsidRDefault="00A304B4" w:rsidP="004E1F91">
      <w:pPr>
        <w:spacing w:line="276" w:lineRule="auto"/>
        <w:ind w:left="720" w:hanging="720"/>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 xml:space="preserve">Dudziński, Ł., </w:t>
      </w:r>
      <w:proofErr w:type="spellStart"/>
      <w:r w:rsidRPr="007364BD">
        <w:rPr>
          <w:rFonts w:ascii="Arial" w:eastAsia="Times New Roman" w:hAnsi="Arial"/>
          <w:color w:val="000000" w:themeColor="text1"/>
          <w:sz w:val="20"/>
          <w:szCs w:val="20"/>
        </w:rPr>
        <w:t>Tymiński</w:t>
      </w:r>
      <w:proofErr w:type="spellEnd"/>
      <w:r w:rsidRPr="007364BD">
        <w:rPr>
          <w:rFonts w:ascii="Arial" w:eastAsia="Times New Roman" w:hAnsi="Arial"/>
          <w:color w:val="000000" w:themeColor="text1"/>
          <w:sz w:val="20"/>
          <w:szCs w:val="20"/>
        </w:rPr>
        <w:t xml:space="preserve">, J., Kubiak, T., Czyzewski, L., </w:t>
      </w:r>
      <w:proofErr w:type="spellStart"/>
      <w:r w:rsidRPr="007364BD">
        <w:rPr>
          <w:rFonts w:ascii="Arial" w:eastAsia="Times New Roman" w:hAnsi="Arial"/>
          <w:color w:val="000000" w:themeColor="text1"/>
          <w:sz w:val="20"/>
          <w:szCs w:val="20"/>
        </w:rPr>
        <w:t>Wyzgal</w:t>
      </w:r>
      <w:proofErr w:type="spellEnd"/>
      <w:r w:rsidRPr="007364BD">
        <w:rPr>
          <w:rFonts w:ascii="Arial" w:eastAsia="Times New Roman" w:hAnsi="Arial"/>
          <w:color w:val="000000" w:themeColor="text1"/>
          <w:sz w:val="20"/>
          <w:szCs w:val="20"/>
        </w:rPr>
        <w:t xml:space="preserve">, J., &amp; </w:t>
      </w:r>
      <w:proofErr w:type="spellStart"/>
      <w:r w:rsidRPr="007364BD">
        <w:rPr>
          <w:rFonts w:ascii="Arial" w:eastAsia="Times New Roman" w:hAnsi="Arial"/>
          <w:color w:val="000000" w:themeColor="text1"/>
          <w:sz w:val="20"/>
          <w:szCs w:val="20"/>
        </w:rPr>
        <w:t>Gałązkowski</w:t>
      </w:r>
      <w:proofErr w:type="spellEnd"/>
      <w:r w:rsidRPr="007364BD">
        <w:rPr>
          <w:rFonts w:ascii="Arial" w:eastAsia="Times New Roman" w:hAnsi="Arial"/>
          <w:color w:val="000000" w:themeColor="text1"/>
          <w:sz w:val="20"/>
          <w:szCs w:val="20"/>
        </w:rPr>
        <w:t xml:space="preserve">, R. (2025). Determinants of health status and health-related </w:t>
      </w:r>
      <w:proofErr w:type="spellStart"/>
      <w:r w:rsidRPr="007364BD">
        <w:rPr>
          <w:rFonts w:ascii="Arial" w:eastAsia="Times New Roman" w:hAnsi="Arial"/>
          <w:color w:val="000000" w:themeColor="text1"/>
          <w:sz w:val="20"/>
          <w:szCs w:val="20"/>
        </w:rPr>
        <w:t>behaviors</w:t>
      </w:r>
      <w:proofErr w:type="spellEnd"/>
      <w:r w:rsidRPr="007364BD">
        <w:rPr>
          <w:rFonts w:ascii="Arial" w:eastAsia="Times New Roman" w:hAnsi="Arial"/>
          <w:color w:val="000000" w:themeColor="text1"/>
          <w:sz w:val="20"/>
          <w:szCs w:val="20"/>
        </w:rPr>
        <w:t xml:space="preserve"> among polish firefighters: a nationwide survey-based study. Frontiers in Nutrition, 12. </w:t>
      </w:r>
      <w:hyperlink r:id="rId22" w:history="1">
        <w:r w:rsidRPr="007364BD">
          <w:rPr>
            <w:rStyle w:val="Hyperlink"/>
            <w:rFonts w:ascii="Arial" w:eastAsia="Times New Roman" w:hAnsi="Arial"/>
            <w:color w:val="000000" w:themeColor="text1"/>
            <w:sz w:val="20"/>
            <w:szCs w:val="20"/>
          </w:rPr>
          <w:t>https://doi.org/10.3389/fnut.2025.1682811</w:t>
        </w:r>
      </w:hyperlink>
      <w:r w:rsidRPr="007364BD">
        <w:rPr>
          <w:rFonts w:ascii="Arial" w:eastAsia="Times New Roman" w:hAnsi="Arial"/>
          <w:color w:val="000000" w:themeColor="text1"/>
          <w:sz w:val="20"/>
          <w:szCs w:val="20"/>
        </w:rPr>
        <w:t xml:space="preserve"> </w:t>
      </w:r>
    </w:p>
    <w:p w14:paraId="27E1424B" w14:textId="77777777" w:rsidR="00A304B4" w:rsidRPr="007364BD" w:rsidRDefault="00A304B4" w:rsidP="004E1F91">
      <w:pPr>
        <w:spacing w:line="276" w:lineRule="auto"/>
        <w:ind w:left="720" w:hanging="720"/>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 xml:space="preserve">Freibauer, J., Grawert, S., &amp; Rieger, M. O. (2024). The effects of trading apps on investment behavior over time. The European Journal of Finance, 1–25. </w:t>
      </w:r>
      <w:hyperlink r:id="rId23">
        <w:r w:rsidRPr="007364BD">
          <w:rPr>
            <w:rFonts w:ascii="Arial" w:eastAsia="Times New Roman" w:hAnsi="Arial"/>
            <w:color w:val="000000" w:themeColor="text1"/>
            <w:sz w:val="20"/>
            <w:szCs w:val="20"/>
            <w:u w:val="single"/>
          </w:rPr>
          <w:t>https://doi.org/10.1080/1351847x.2024.2401604</w:t>
        </w:r>
      </w:hyperlink>
      <w:r w:rsidRPr="007364BD">
        <w:rPr>
          <w:rFonts w:ascii="Arial" w:eastAsia="Times New Roman" w:hAnsi="Arial"/>
          <w:color w:val="000000" w:themeColor="text1"/>
          <w:sz w:val="20"/>
          <w:szCs w:val="20"/>
        </w:rPr>
        <w:t xml:space="preserve"> </w:t>
      </w:r>
    </w:p>
    <w:p w14:paraId="07B91057" w14:textId="77777777" w:rsidR="00A304B4" w:rsidRPr="007364BD" w:rsidRDefault="00A304B4" w:rsidP="004E1F91">
      <w:pPr>
        <w:spacing w:line="276" w:lineRule="auto"/>
        <w:ind w:left="720" w:hanging="720"/>
        <w:rPr>
          <w:rFonts w:ascii="Arial" w:eastAsia="Times New Roman" w:hAnsi="Arial"/>
          <w:color w:val="000000" w:themeColor="text1"/>
          <w:sz w:val="20"/>
          <w:szCs w:val="20"/>
          <w:lang w:val="en-ZW"/>
        </w:rPr>
      </w:pPr>
      <w:r w:rsidRPr="007364BD">
        <w:rPr>
          <w:rFonts w:ascii="Arial" w:eastAsia="Times New Roman" w:hAnsi="Arial"/>
          <w:color w:val="000000" w:themeColor="text1"/>
          <w:sz w:val="20"/>
          <w:szCs w:val="20"/>
          <w:lang w:val="en-ZW"/>
        </w:rPr>
        <w:t xml:space="preserve">Goso, G., Jasman, J., </w:t>
      </w:r>
      <w:proofErr w:type="spellStart"/>
      <w:r w:rsidRPr="007364BD">
        <w:rPr>
          <w:rFonts w:ascii="Arial" w:eastAsia="Times New Roman" w:hAnsi="Arial"/>
          <w:color w:val="000000" w:themeColor="text1"/>
          <w:sz w:val="20"/>
          <w:szCs w:val="20"/>
          <w:lang w:val="en-ZW"/>
        </w:rPr>
        <w:t>Husmaruddin</w:t>
      </w:r>
      <w:proofErr w:type="spellEnd"/>
      <w:r w:rsidRPr="007364BD">
        <w:rPr>
          <w:rFonts w:ascii="Arial" w:eastAsia="Times New Roman" w:hAnsi="Arial"/>
          <w:color w:val="000000" w:themeColor="text1"/>
          <w:sz w:val="20"/>
          <w:szCs w:val="20"/>
          <w:lang w:val="en-ZW"/>
        </w:rPr>
        <w:t xml:space="preserve">, H., &amp; Alam, S. (2025). Digital Financial Literacy and Decision-Making: A Behavioural Management Model for Digital Natives. </w:t>
      </w:r>
      <w:proofErr w:type="spellStart"/>
      <w:r w:rsidRPr="007364BD">
        <w:rPr>
          <w:rFonts w:ascii="Arial" w:eastAsia="Times New Roman" w:hAnsi="Arial"/>
          <w:color w:val="000000" w:themeColor="text1"/>
          <w:sz w:val="20"/>
          <w:szCs w:val="20"/>
          <w:lang w:val="en-ZW"/>
        </w:rPr>
        <w:t>Jurnal</w:t>
      </w:r>
      <w:proofErr w:type="spellEnd"/>
      <w:r w:rsidRPr="007364BD">
        <w:rPr>
          <w:rFonts w:ascii="Arial" w:eastAsia="Times New Roman" w:hAnsi="Arial"/>
          <w:color w:val="000000" w:themeColor="text1"/>
          <w:sz w:val="20"/>
          <w:szCs w:val="20"/>
          <w:lang w:val="en-ZW"/>
        </w:rPr>
        <w:t xml:space="preserve"> Minds: </w:t>
      </w:r>
      <w:proofErr w:type="spellStart"/>
      <w:r w:rsidRPr="007364BD">
        <w:rPr>
          <w:rFonts w:ascii="Arial" w:eastAsia="Times New Roman" w:hAnsi="Arial"/>
          <w:color w:val="000000" w:themeColor="text1"/>
          <w:sz w:val="20"/>
          <w:szCs w:val="20"/>
          <w:lang w:val="en-ZW"/>
        </w:rPr>
        <w:t>Manajemen</w:t>
      </w:r>
      <w:proofErr w:type="spellEnd"/>
      <w:r w:rsidRPr="007364BD">
        <w:rPr>
          <w:rFonts w:ascii="Arial" w:eastAsia="Times New Roman" w:hAnsi="Arial"/>
          <w:color w:val="000000" w:themeColor="text1"/>
          <w:sz w:val="20"/>
          <w:szCs w:val="20"/>
          <w:lang w:val="en-ZW"/>
        </w:rPr>
        <w:t xml:space="preserve"> Ide Dan </w:t>
      </w:r>
      <w:proofErr w:type="spellStart"/>
      <w:r w:rsidRPr="007364BD">
        <w:rPr>
          <w:rFonts w:ascii="Arial" w:eastAsia="Times New Roman" w:hAnsi="Arial"/>
          <w:color w:val="000000" w:themeColor="text1"/>
          <w:sz w:val="20"/>
          <w:szCs w:val="20"/>
          <w:lang w:val="en-ZW"/>
        </w:rPr>
        <w:t>Inspirasi</w:t>
      </w:r>
      <w:proofErr w:type="spellEnd"/>
      <w:r w:rsidRPr="007364BD">
        <w:rPr>
          <w:rFonts w:ascii="Arial" w:eastAsia="Times New Roman" w:hAnsi="Arial"/>
          <w:color w:val="000000" w:themeColor="text1"/>
          <w:sz w:val="20"/>
          <w:szCs w:val="20"/>
          <w:lang w:val="en-ZW"/>
        </w:rPr>
        <w:t xml:space="preserve">, 12(2), 429–440. </w:t>
      </w:r>
      <w:hyperlink r:id="rId24" w:history="1">
        <w:r w:rsidRPr="007364BD">
          <w:rPr>
            <w:rStyle w:val="Hyperlink"/>
            <w:rFonts w:ascii="Arial" w:eastAsia="Times New Roman" w:hAnsi="Arial"/>
            <w:color w:val="000000" w:themeColor="text1"/>
            <w:sz w:val="20"/>
            <w:szCs w:val="20"/>
            <w:lang w:val="en-ZW"/>
          </w:rPr>
          <w:t>https://doi.org/10.24252/minds.v12i2.56161</w:t>
        </w:r>
      </w:hyperlink>
      <w:r w:rsidRPr="007364BD">
        <w:rPr>
          <w:rFonts w:ascii="Arial" w:eastAsia="Times New Roman" w:hAnsi="Arial"/>
          <w:color w:val="000000" w:themeColor="text1"/>
          <w:sz w:val="20"/>
          <w:szCs w:val="20"/>
          <w:lang w:val="en-ZW"/>
        </w:rPr>
        <w:t> </w:t>
      </w:r>
    </w:p>
    <w:p w14:paraId="61B48BF5" w14:textId="77777777" w:rsidR="00A304B4" w:rsidRPr="007364BD" w:rsidRDefault="00A304B4" w:rsidP="004E1F91">
      <w:pPr>
        <w:spacing w:line="276" w:lineRule="auto"/>
        <w:ind w:left="720" w:hanging="720"/>
        <w:rPr>
          <w:rFonts w:ascii="Arial" w:eastAsia="Times New Roman" w:hAnsi="Arial"/>
          <w:color w:val="000000" w:themeColor="text1"/>
          <w:sz w:val="20"/>
          <w:szCs w:val="20"/>
          <w:lang w:val="en-ZW"/>
        </w:rPr>
      </w:pPr>
      <w:r w:rsidRPr="007364BD">
        <w:rPr>
          <w:rFonts w:ascii="Arial" w:eastAsia="Times New Roman" w:hAnsi="Arial"/>
          <w:color w:val="000000" w:themeColor="text1"/>
          <w:sz w:val="20"/>
          <w:szCs w:val="20"/>
          <w:lang w:val="en-ZW"/>
        </w:rPr>
        <w:t xml:space="preserve">Goso, G., Jasman, J., </w:t>
      </w:r>
      <w:proofErr w:type="spellStart"/>
      <w:r w:rsidRPr="007364BD">
        <w:rPr>
          <w:rFonts w:ascii="Arial" w:eastAsia="Times New Roman" w:hAnsi="Arial"/>
          <w:color w:val="000000" w:themeColor="text1"/>
          <w:sz w:val="20"/>
          <w:szCs w:val="20"/>
          <w:lang w:val="en-ZW"/>
        </w:rPr>
        <w:t>Husmaruddin</w:t>
      </w:r>
      <w:proofErr w:type="spellEnd"/>
      <w:r w:rsidRPr="007364BD">
        <w:rPr>
          <w:rFonts w:ascii="Arial" w:eastAsia="Times New Roman" w:hAnsi="Arial"/>
          <w:color w:val="000000" w:themeColor="text1"/>
          <w:sz w:val="20"/>
          <w:szCs w:val="20"/>
          <w:lang w:val="en-ZW"/>
        </w:rPr>
        <w:t xml:space="preserve">, H., &amp; Alam, S. (2025). Digital Financial Literacy and Decision-Making: A Behavioural Management Model for Digital Natives. </w:t>
      </w:r>
      <w:proofErr w:type="spellStart"/>
      <w:r w:rsidRPr="007364BD">
        <w:rPr>
          <w:rFonts w:ascii="Arial" w:eastAsia="Times New Roman" w:hAnsi="Arial"/>
          <w:color w:val="000000" w:themeColor="text1"/>
          <w:sz w:val="20"/>
          <w:szCs w:val="20"/>
          <w:lang w:val="en-ZW"/>
        </w:rPr>
        <w:t>Jurnal</w:t>
      </w:r>
      <w:proofErr w:type="spellEnd"/>
      <w:r w:rsidRPr="007364BD">
        <w:rPr>
          <w:rFonts w:ascii="Arial" w:eastAsia="Times New Roman" w:hAnsi="Arial"/>
          <w:color w:val="000000" w:themeColor="text1"/>
          <w:sz w:val="20"/>
          <w:szCs w:val="20"/>
          <w:lang w:val="en-ZW"/>
        </w:rPr>
        <w:t xml:space="preserve"> Minds: </w:t>
      </w:r>
      <w:proofErr w:type="spellStart"/>
      <w:r w:rsidRPr="007364BD">
        <w:rPr>
          <w:rFonts w:ascii="Arial" w:eastAsia="Times New Roman" w:hAnsi="Arial"/>
          <w:color w:val="000000" w:themeColor="text1"/>
          <w:sz w:val="20"/>
          <w:szCs w:val="20"/>
          <w:lang w:val="en-ZW"/>
        </w:rPr>
        <w:t>Manajemen</w:t>
      </w:r>
      <w:proofErr w:type="spellEnd"/>
      <w:r w:rsidRPr="007364BD">
        <w:rPr>
          <w:rFonts w:ascii="Arial" w:eastAsia="Times New Roman" w:hAnsi="Arial"/>
          <w:color w:val="000000" w:themeColor="text1"/>
          <w:sz w:val="20"/>
          <w:szCs w:val="20"/>
          <w:lang w:val="en-ZW"/>
        </w:rPr>
        <w:t xml:space="preserve"> Ide Dan </w:t>
      </w:r>
      <w:proofErr w:type="spellStart"/>
      <w:r w:rsidRPr="007364BD">
        <w:rPr>
          <w:rFonts w:ascii="Arial" w:eastAsia="Times New Roman" w:hAnsi="Arial"/>
          <w:color w:val="000000" w:themeColor="text1"/>
          <w:sz w:val="20"/>
          <w:szCs w:val="20"/>
          <w:lang w:val="en-ZW"/>
        </w:rPr>
        <w:t>Inspirasi</w:t>
      </w:r>
      <w:proofErr w:type="spellEnd"/>
      <w:r w:rsidRPr="007364BD">
        <w:rPr>
          <w:rFonts w:ascii="Arial" w:eastAsia="Times New Roman" w:hAnsi="Arial"/>
          <w:color w:val="000000" w:themeColor="text1"/>
          <w:sz w:val="20"/>
          <w:szCs w:val="20"/>
          <w:lang w:val="en-ZW"/>
        </w:rPr>
        <w:t xml:space="preserve">, 12(2), 429–440. </w:t>
      </w:r>
      <w:hyperlink r:id="rId25" w:history="1">
        <w:r w:rsidRPr="007364BD">
          <w:rPr>
            <w:rStyle w:val="Hyperlink"/>
            <w:rFonts w:ascii="Arial" w:eastAsia="Times New Roman" w:hAnsi="Arial"/>
            <w:color w:val="000000" w:themeColor="text1"/>
            <w:sz w:val="20"/>
            <w:szCs w:val="20"/>
            <w:lang w:val="en-ZW"/>
          </w:rPr>
          <w:t>https://doi.org/10.24252/minds.v12i2.56161</w:t>
        </w:r>
      </w:hyperlink>
    </w:p>
    <w:p w14:paraId="666A123D" w14:textId="77777777" w:rsidR="00A304B4" w:rsidRPr="007364BD" w:rsidRDefault="00A304B4" w:rsidP="004E1F91">
      <w:pPr>
        <w:spacing w:line="276" w:lineRule="auto"/>
        <w:ind w:left="720" w:hanging="720"/>
        <w:rPr>
          <w:rFonts w:ascii="Arial" w:eastAsia="Times New Roman" w:hAnsi="Arial"/>
          <w:color w:val="000000" w:themeColor="text1"/>
          <w:sz w:val="20"/>
          <w:szCs w:val="20"/>
          <w:lang w:val="en-ZW"/>
        </w:rPr>
      </w:pPr>
      <w:proofErr w:type="spellStart"/>
      <w:r w:rsidRPr="007364BD">
        <w:rPr>
          <w:rFonts w:ascii="Arial" w:eastAsia="Times New Roman" w:hAnsi="Arial"/>
          <w:color w:val="000000" w:themeColor="text1"/>
          <w:sz w:val="20"/>
          <w:szCs w:val="20"/>
          <w:lang w:val="en-ZW"/>
        </w:rPr>
        <w:lastRenderedPageBreak/>
        <w:t>Groww</w:t>
      </w:r>
      <w:proofErr w:type="spellEnd"/>
      <w:r w:rsidRPr="007364BD">
        <w:rPr>
          <w:rFonts w:ascii="Arial" w:eastAsia="Times New Roman" w:hAnsi="Arial"/>
          <w:color w:val="000000" w:themeColor="text1"/>
          <w:sz w:val="20"/>
          <w:szCs w:val="20"/>
          <w:lang w:val="en-ZW"/>
        </w:rPr>
        <w:t xml:space="preserve">. (2026a). </w:t>
      </w:r>
      <w:r w:rsidRPr="007364BD">
        <w:rPr>
          <w:rFonts w:ascii="Arial" w:eastAsia="Times New Roman" w:hAnsi="Arial"/>
          <w:i/>
          <w:iCs/>
          <w:color w:val="000000" w:themeColor="text1"/>
          <w:sz w:val="20"/>
          <w:szCs w:val="20"/>
          <w:lang w:val="en-ZW"/>
        </w:rPr>
        <w:t>Investment basics</w:t>
      </w:r>
      <w:r w:rsidRPr="007364BD">
        <w:rPr>
          <w:rFonts w:ascii="Arial" w:eastAsia="Times New Roman" w:hAnsi="Arial"/>
          <w:color w:val="000000" w:themeColor="text1"/>
          <w:sz w:val="20"/>
          <w:szCs w:val="20"/>
          <w:lang w:val="en-ZW"/>
        </w:rPr>
        <w:t>. Retrieved April 14, 2026, from</w:t>
      </w:r>
      <w:hyperlink r:id="rId26" w:history="1">
        <w:r w:rsidRPr="007364BD">
          <w:rPr>
            <w:rStyle w:val="Hyperlink"/>
            <w:rFonts w:ascii="Arial" w:eastAsia="Times New Roman" w:hAnsi="Arial"/>
            <w:color w:val="000000" w:themeColor="text1"/>
            <w:sz w:val="20"/>
            <w:szCs w:val="20"/>
            <w:lang w:val="en-ZW"/>
          </w:rPr>
          <w:t xml:space="preserve"> https://groww.in/p/investment-basics</w:t>
        </w:r>
      </w:hyperlink>
      <w:r w:rsidRPr="007364BD">
        <w:rPr>
          <w:rFonts w:ascii="Arial" w:eastAsia="Times New Roman" w:hAnsi="Arial"/>
          <w:color w:val="000000" w:themeColor="text1"/>
          <w:sz w:val="20"/>
          <w:szCs w:val="20"/>
          <w:lang w:val="en-ZW"/>
        </w:rPr>
        <w:t> </w:t>
      </w:r>
    </w:p>
    <w:p w14:paraId="0E4A9F01" w14:textId="77777777" w:rsidR="00A304B4" w:rsidRPr="007364BD" w:rsidRDefault="00A304B4" w:rsidP="004E1F91">
      <w:pPr>
        <w:spacing w:line="276" w:lineRule="auto"/>
        <w:ind w:left="720" w:hanging="720"/>
        <w:rPr>
          <w:rFonts w:ascii="Arial" w:eastAsia="Times New Roman" w:hAnsi="Arial"/>
          <w:color w:val="000000" w:themeColor="text1"/>
          <w:sz w:val="20"/>
          <w:szCs w:val="20"/>
          <w:lang w:val="en-ZW"/>
        </w:rPr>
      </w:pPr>
      <w:proofErr w:type="spellStart"/>
      <w:r w:rsidRPr="007364BD">
        <w:rPr>
          <w:rFonts w:ascii="Arial" w:eastAsia="Times New Roman" w:hAnsi="Arial"/>
          <w:color w:val="000000" w:themeColor="text1"/>
          <w:sz w:val="20"/>
          <w:szCs w:val="20"/>
          <w:lang w:val="en-ZW"/>
        </w:rPr>
        <w:t>Groww</w:t>
      </w:r>
      <w:proofErr w:type="spellEnd"/>
      <w:r w:rsidRPr="007364BD">
        <w:rPr>
          <w:rFonts w:ascii="Arial" w:eastAsia="Times New Roman" w:hAnsi="Arial"/>
          <w:color w:val="000000" w:themeColor="text1"/>
          <w:sz w:val="20"/>
          <w:szCs w:val="20"/>
          <w:lang w:val="en-ZW"/>
        </w:rPr>
        <w:t xml:space="preserve">. (2026b). </w:t>
      </w:r>
      <w:proofErr w:type="spellStart"/>
      <w:r w:rsidRPr="007364BD">
        <w:rPr>
          <w:rFonts w:ascii="Arial" w:eastAsia="Times New Roman" w:hAnsi="Arial"/>
          <w:i/>
          <w:iCs/>
          <w:color w:val="000000" w:themeColor="text1"/>
          <w:sz w:val="20"/>
          <w:szCs w:val="20"/>
          <w:lang w:val="en-ZW"/>
        </w:rPr>
        <w:t>Groww</w:t>
      </w:r>
      <w:proofErr w:type="spellEnd"/>
      <w:r w:rsidRPr="007364BD">
        <w:rPr>
          <w:rFonts w:ascii="Arial" w:eastAsia="Times New Roman" w:hAnsi="Arial"/>
          <w:i/>
          <w:iCs/>
          <w:color w:val="000000" w:themeColor="text1"/>
          <w:sz w:val="20"/>
          <w:szCs w:val="20"/>
          <w:lang w:val="en-ZW"/>
        </w:rPr>
        <w:t xml:space="preserve"> Digest: Daily and weekly financial news updates</w:t>
      </w:r>
      <w:r w:rsidRPr="007364BD">
        <w:rPr>
          <w:rFonts w:ascii="Arial" w:eastAsia="Times New Roman" w:hAnsi="Arial"/>
          <w:color w:val="000000" w:themeColor="text1"/>
          <w:sz w:val="20"/>
          <w:szCs w:val="20"/>
          <w:lang w:val="en-ZW"/>
        </w:rPr>
        <w:t>. Retrieved April 14, 2026, from</w:t>
      </w:r>
      <w:hyperlink r:id="rId27" w:history="1">
        <w:r w:rsidRPr="007364BD">
          <w:rPr>
            <w:rStyle w:val="Hyperlink"/>
            <w:rFonts w:ascii="Arial" w:eastAsia="Times New Roman" w:hAnsi="Arial"/>
            <w:color w:val="000000" w:themeColor="text1"/>
            <w:sz w:val="20"/>
            <w:szCs w:val="20"/>
            <w:lang w:val="en-ZW"/>
          </w:rPr>
          <w:t xml:space="preserve"> https://groww.in/digest</w:t>
        </w:r>
      </w:hyperlink>
      <w:r w:rsidRPr="007364BD">
        <w:rPr>
          <w:rFonts w:ascii="Arial" w:eastAsia="Times New Roman" w:hAnsi="Arial"/>
          <w:color w:val="000000" w:themeColor="text1"/>
          <w:sz w:val="20"/>
          <w:szCs w:val="20"/>
          <w:lang w:val="en-ZW"/>
        </w:rPr>
        <w:t> </w:t>
      </w:r>
    </w:p>
    <w:p w14:paraId="5FC2B1F8" w14:textId="77777777" w:rsidR="00A304B4" w:rsidRPr="007364BD" w:rsidRDefault="00A304B4" w:rsidP="004E1F91">
      <w:pPr>
        <w:spacing w:line="276" w:lineRule="auto"/>
        <w:ind w:left="720" w:hanging="720"/>
        <w:rPr>
          <w:rFonts w:ascii="Arial" w:eastAsia="Times New Roman" w:hAnsi="Arial"/>
          <w:color w:val="000000" w:themeColor="text1"/>
          <w:sz w:val="20"/>
          <w:szCs w:val="20"/>
          <w:lang w:val="en-ZW"/>
        </w:rPr>
      </w:pPr>
      <w:proofErr w:type="spellStart"/>
      <w:r w:rsidRPr="007364BD">
        <w:rPr>
          <w:rFonts w:ascii="Arial" w:eastAsia="Times New Roman" w:hAnsi="Arial"/>
          <w:color w:val="000000" w:themeColor="text1"/>
          <w:sz w:val="20"/>
          <w:szCs w:val="20"/>
          <w:lang w:val="en-ZW"/>
        </w:rPr>
        <w:t>Groww</w:t>
      </w:r>
      <w:proofErr w:type="spellEnd"/>
      <w:r w:rsidRPr="007364BD">
        <w:rPr>
          <w:rFonts w:ascii="Arial" w:eastAsia="Times New Roman" w:hAnsi="Arial"/>
          <w:color w:val="000000" w:themeColor="text1"/>
          <w:sz w:val="20"/>
          <w:szCs w:val="20"/>
          <w:lang w:val="en-ZW"/>
        </w:rPr>
        <w:t xml:space="preserve">. (2026c). </w:t>
      </w:r>
      <w:r w:rsidRPr="007364BD">
        <w:rPr>
          <w:rFonts w:ascii="Arial" w:eastAsia="Times New Roman" w:hAnsi="Arial"/>
          <w:i/>
          <w:iCs/>
          <w:color w:val="000000" w:themeColor="text1"/>
          <w:sz w:val="20"/>
          <w:szCs w:val="20"/>
          <w:lang w:val="en-ZW"/>
        </w:rPr>
        <w:t>Stock market basics</w:t>
      </w:r>
      <w:r w:rsidRPr="007364BD">
        <w:rPr>
          <w:rFonts w:ascii="Arial" w:eastAsia="Times New Roman" w:hAnsi="Arial"/>
          <w:color w:val="000000" w:themeColor="text1"/>
          <w:sz w:val="20"/>
          <w:szCs w:val="20"/>
          <w:lang w:val="en-ZW"/>
        </w:rPr>
        <w:t>. Retrieved April 14, 2026, from</w:t>
      </w:r>
      <w:hyperlink r:id="rId28" w:history="1">
        <w:r w:rsidRPr="007364BD">
          <w:rPr>
            <w:rStyle w:val="Hyperlink"/>
            <w:rFonts w:ascii="Arial" w:eastAsia="Times New Roman" w:hAnsi="Arial"/>
            <w:color w:val="000000" w:themeColor="text1"/>
            <w:sz w:val="20"/>
            <w:szCs w:val="20"/>
            <w:lang w:val="en-ZW"/>
          </w:rPr>
          <w:t xml:space="preserve"> https://groww.in/p/stock-market-basics</w:t>
        </w:r>
      </w:hyperlink>
      <w:r w:rsidRPr="007364BD">
        <w:rPr>
          <w:rFonts w:ascii="Arial" w:eastAsia="Times New Roman" w:hAnsi="Arial"/>
          <w:color w:val="000000" w:themeColor="text1"/>
          <w:sz w:val="20"/>
          <w:szCs w:val="20"/>
          <w:lang w:val="en-ZW"/>
        </w:rPr>
        <w:t> </w:t>
      </w:r>
    </w:p>
    <w:p w14:paraId="4B32514F" w14:textId="77777777" w:rsidR="00A304B4" w:rsidRPr="007364BD" w:rsidRDefault="00A304B4" w:rsidP="004E1F91">
      <w:pPr>
        <w:spacing w:line="276" w:lineRule="auto"/>
        <w:ind w:left="720" w:hanging="720"/>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 xml:space="preserve">Guo, X., Sun, Q., &amp; Yeung, B. (2025, September 27). </w:t>
      </w:r>
      <w:r w:rsidRPr="007364BD">
        <w:rPr>
          <w:rFonts w:ascii="Arial" w:eastAsia="Times New Roman" w:hAnsi="Arial"/>
          <w:i/>
          <w:iCs/>
          <w:color w:val="000000" w:themeColor="text1"/>
          <w:sz w:val="20"/>
          <w:szCs w:val="20"/>
        </w:rPr>
        <w:t>Stock market participation and financial education in the digital age</w:t>
      </w:r>
      <w:r w:rsidRPr="007364BD">
        <w:rPr>
          <w:rFonts w:ascii="Arial" w:eastAsia="Times New Roman" w:hAnsi="Arial"/>
          <w:color w:val="000000" w:themeColor="text1"/>
          <w:sz w:val="20"/>
          <w:szCs w:val="20"/>
        </w:rPr>
        <w:t xml:space="preserve">. </w:t>
      </w:r>
      <w:proofErr w:type="spellStart"/>
      <w:r w:rsidRPr="007364BD">
        <w:rPr>
          <w:rFonts w:ascii="Arial" w:eastAsia="Times New Roman" w:hAnsi="Arial"/>
          <w:color w:val="000000" w:themeColor="text1"/>
          <w:sz w:val="20"/>
          <w:szCs w:val="20"/>
        </w:rPr>
        <w:t>VoxEU</w:t>
      </w:r>
      <w:proofErr w:type="spellEnd"/>
      <w:r w:rsidRPr="007364BD">
        <w:rPr>
          <w:rFonts w:ascii="Arial" w:eastAsia="Times New Roman" w:hAnsi="Arial"/>
          <w:color w:val="000000" w:themeColor="text1"/>
          <w:sz w:val="20"/>
          <w:szCs w:val="20"/>
        </w:rPr>
        <w:t>, Centre for Economic Policy Research.</w:t>
      </w:r>
      <w:hyperlink r:id="rId29">
        <w:r w:rsidRPr="007364BD">
          <w:rPr>
            <w:rFonts w:ascii="Arial" w:eastAsia="Times New Roman" w:hAnsi="Arial"/>
            <w:color w:val="000000" w:themeColor="text1"/>
            <w:sz w:val="20"/>
            <w:szCs w:val="20"/>
          </w:rPr>
          <w:t xml:space="preserve"> </w:t>
        </w:r>
      </w:hyperlink>
      <w:hyperlink r:id="rId30">
        <w:r w:rsidRPr="007364BD">
          <w:rPr>
            <w:rFonts w:ascii="Arial" w:eastAsia="Times New Roman" w:hAnsi="Arial"/>
            <w:color w:val="000000" w:themeColor="text1"/>
            <w:sz w:val="20"/>
            <w:szCs w:val="20"/>
            <w:u w:val="single"/>
          </w:rPr>
          <w:t>https://cepr.org/voxeu/columns/stock-market-participation-and-financial-education-digital-age</w:t>
        </w:r>
      </w:hyperlink>
    </w:p>
    <w:p w14:paraId="646611D9" w14:textId="77777777" w:rsidR="00A304B4" w:rsidRPr="007364BD" w:rsidRDefault="00A304B4" w:rsidP="004E1F91">
      <w:pPr>
        <w:spacing w:line="276" w:lineRule="auto"/>
        <w:ind w:left="720" w:hanging="720"/>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 xml:space="preserve">Gupta, Y. (2025). </w:t>
      </w:r>
      <w:proofErr w:type="spellStart"/>
      <w:r w:rsidRPr="007364BD">
        <w:rPr>
          <w:rFonts w:ascii="Arial" w:eastAsia="Times New Roman" w:hAnsi="Arial"/>
          <w:color w:val="000000" w:themeColor="text1"/>
          <w:sz w:val="20"/>
          <w:szCs w:val="20"/>
        </w:rPr>
        <w:t>Behavioral</w:t>
      </w:r>
      <w:proofErr w:type="spellEnd"/>
      <w:r w:rsidRPr="007364BD">
        <w:rPr>
          <w:rFonts w:ascii="Arial" w:eastAsia="Times New Roman" w:hAnsi="Arial"/>
          <w:color w:val="000000" w:themeColor="text1"/>
          <w:sz w:val="20"/>
          <w:szCs w:val="20"/>
        </w:rPr>
        <w:t xml:space="preserve"> finance in </w:t>
      </w:r>
      <w:proofErr w:type="spellStart"/>
      <w:r w:rsidRPr="007364BD">
        <w:rPr>
          <w:rFonts w:ascii="Arial" w:eastAsia="Times New Roman" w:hAnsi="Arial"/>
          <w:color w:val="000000" w:themeColor="text1"/>
          <w:sz w:val="20"/>
          <w:szCs w:val="20"/>
        </w:rPr>
        <w:t>reatail</w:t>
      </w:r>
      <w:proofErr w:type="spellEnd"/>
      <w:r w:rsidRPr="007364BD">
        <w:rPr>
          <w:rFonts w:ascii="Arial" w:eastAsia="Times New Roman" w:hAnsi="Arial"/>
          <w:color w:val="000000" w:themeColor="text1"/>
          <w:sz w:val="20"/>
          <w:szCs w:val="20"/>
        </w:rPr>
        <w:t xml:space="preserve"> investing - an Indian perspective. IOSR Journal of Business and Management, 27(10), 81–93. </w:t>
      </w:r>
      <w:hyperlink r:id="rId31" w:history="1">
        <w:r w:rsidRPr="007364BD">
          <w:rPr>
            <w:rStyle w:val="Hyperlink"/>
            <w:rFonts w:ascii="Arial" w:eastAsia="Times New Roman" w:hAnsi="Arial"/>
            <w:color w:val="000000" w:themeColor="text1"/>
            <w:sz w:val="20"/>
            <w:szCs w:val="20"/>
          </w:rPr>
          <w:t>https://doi.org/10.9790/487x-2710078193</w:t>
        </w:r>
      </w:hyperlink>
      <w:r w:rsidRPr="007364BD">
        <w:rPr>
          <w:rFonts w:ascii="Arial" w:eastAsia="Times New Roman" w:hAnsi="Arial"/>
          <w:color w:val="000000" w:themeColor="text1"/>
          <w:sz w:val="20"/>
          <w:szCs w:val="20"/>
        </w:rPr>
        <w:t xml:space="preserve"> </w:t>
      </w:r>
    </w:p>
    <w:p w14:paraId="3AC79CFB" w14:textId="77777777" w:rsidR="00A304B4" w:rsidRPr="007364BD" w:rsidRDefault="00A304B4" w:rsidP="004E1F91">
      <w:pPr>
        <w:spacing w:line="276" w:lineRule="auto"/>
        <w:ind w:left="720" w:hanging="720"/>
        <w:rPr>
          <w:rFonts w:ascii="Arial" w:eastAsia="Times New Roman" w:hAnsi="Arial"/>
          <w:color w:val="000000" w:themeColor="text1"/>
          <w:sz w:val="20"/>
          <w:szCs w:val="20"/>
        </w:rPr>
      </w:pPr>
      <w:r w:rsidRPr="007364BD">
        <w:rPr>
          <w:rFonts w:ascii="Arial" w:eastAsia="Times New Roman" w:hAnsi="Arial"/>
          <w:color w:val="000000" w:themeColor="text1"/>
          <w:sz w:val="20"/>
          <w:szCs w:val="20"/>
          <w:lang w:val="en-ZW"/>
        </w:rPr>
        <w:t xml:space="preserve">Ha, D., &amp; Nguyen, K. (2024). Unlocking financial access in a developing country amidst COVID-19: the impacts of financial literacy and fintech. Journal of the Asia Pacific Economy, 30(4), 1574–1610. </w:t>
      </w:r>
      <w:hyperlink r:id="rId32" w:history="1">
        <w:r w:rsidRPr="007364BD">
          <w:rPr>
            <w:rStyle w:val="Hyperlink"/>
            <w:rFonts w:ascii="Arial" w:eastAsia="Times New Roman" w:hAnsi="Arial"/>
            <w:color w:val="000000" w:themeColor="text1"/>
            <w:sz w:val="20"/>
            <w:szCs w:val="20"/>
            <w:lang w:val="en-ZW"/>
          </w:rPr>
          <w:t>https://doi.org/10.1080/13547860.2024.2386825</w:t>
        </w:r>
      </w:hyperlink>
    </w:p>
    <w:p w14:paraId="16DE1949" w14:textId="77777777" w:rsidR="00A304B4" w:rsidRPr="007364BD" w:rsidRDefault="00A304B4" w:rsidP="004E1F91">
      <w:pPr>
        <w:spacing w:line="276" w:lineRule="auto"/>
        <w:ind w:left="720" w:hanging="720"/>
        <w:rPr>
          <w:rFonts w:ascii="Arial" w:eastAsia="Times New Roman" w:hAnsi="Arial"/>
          <w:color w:val="000000" w:themeColor="text1"/>
          <w:sz w:val="20"/>
          <w:szCs w:val="20"/>
          <w:lang w:val="en-ZW"/>
        </w:rPr>
      </w:pPr>
      <w:r w:rsidRPr="007364BD">
        <w:rPr>
          <w:rFonts w:ascii="Arial" w:eastAsia="Times New Roman" w:hAnsi="Arial"/>
          <w:color w:val="000000" w:themeColor="text1"/>
          <w:sz w:val="20"/>
          <w:szCs w:val="20"/>
          <w:lang w:val="en-ZW"/>
        </w:rPr>
        <w:t xml:space="preserve">Islam, A., &amp; Muhammad Saifuddin Khan. (2024). The role of financial literacy, digital literacy, and financial self-efficacy in FinTech adoption. </w:t>
      </w:r>
      <w:r w:rsidRPr="007364BD">
        <w:rPr>
          <w:rFonts w:ascii="Arial" w:eastAsia="Times New Roman" w:hAnsi="Arial"/>
          <w:i/>
          <w:iCs/>
          <w:color w:val="000000" w:themeColor="text1"/>
          <w:sz w:val="20"/>
          <w:szCs w:val="20"/>
          <w:lang w:val="en-ZW"/>
        </w:rPr>
        <w:t>Investment Management and Financial Innovations/Investment Management &amp; Financial Innovations</w:t>
      </w:r>
      <w:r w:rsidRPr="007364BD">
        <w:rPr>
          <w:rFonts w:ascii="Arial" w:eastAsia="Times New Roman" w:hAnsi="Arial"/>
          <w:color w:val="000000" w:themeColor="text1"/>
          <w:sz w:val="20"/>
          <w:szCs w:val="20"/>
          <w:lang w:val="en-ZW"/>
        </w:rPr>
        <w:t xml:space="preserve">, </w:t>
      </w:r>
      <w:r w:rsidRPr="007364BD">
        <w:rPr>
          <w:rFonts w:ascii="Arial" w:eastAsia="Times New Roman" w:hAnsi="Arial"/>
          <w:i/>
          <w:iCs/>
          <w:color w:val="000000" w:themeColor="text1"/>
          <w:sz w:val="20"/>
          <w:szCs w:val="20"/>
          <w:lang w:val="en-ZW"/>
        </w:rPr>
        <w:t>21</w:t>
      </w:r>
      <w:r w:rsidRPr="007364BD">
        <w:rPr>
          <w:rFonts w:ascii="Arial" w:eastAsia="Times New Roman" w:hAnsi="Arial"/>
          <w:color w:val="000000" w:themeColor="text1"/>
          <w:sz w:val="20"/>
          <w:szCs w:val="20"/>
          <w:lang w:val="en-ZW"/>
        </w:rPr>
        <w:t xml:space="preserve">(2), 370–380. </w:t>
      </w:r>
      <w:hyperlink r:id="rId33" w:history="1">
        <w:r w:rsidRPr="007364BD">
          <w:rPr>
            <w:rStyle w:val="Hyperlink"/>
            <w:rFonts w:ascii="Arial" w:eastAsia="Times New Roman" w:hAnsi="Arial"/>
            <w:color w:val="000000" w:themeColor="text1"/>
            <w:sz w:val="20"/>
            <w:szCs w:val="20"/>
            <w:lang w:val="en-ZW"/>
          </w:rPr>
          <w:t>https://doi.org/10.21511/imfi.21(2).2024.30</w:t>
        </w:r>
      </w:hyperlink>
      <w:r w:rsidRPr="007364BD">
        <w:rPr>
          <w:rFonts w:ascii="Arial" w:eastAsia="Times New Roman" w:hAnsi="Arial"/>
          <w:color w:val="000000" w:themeColor="text1"/>
          <w:sz w:val="20"/>
          <w:szCs w:val="20"/>
          <w:lang w:val="en-ZW"/>
        </w:rPr>
        <w:t> </w:t>
      </w:r>
    </w:p>
    <w:p w14:paraId="617CBFAA" w14:textId="77777777" w:rsidR="00A304B4" w:rsidRPr="007364BD" w:rsidRDefault="00A304B4" w:rsidP="004E1F91">
      <w:pPr>
        <w:spacing w:line="276" w:lineRule="auto"/>
        <w:ind w:left="720" w:hanging="720"/>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 xml:space="preserve">K Arjun Goud, Dr. K. V. R. Satya Kumar, &amp; Dr. </w:t>
      </w:r>
      <w:proofErr w:type="spellStart"/>
      <w:r w:rsidRPr="007364BD">
        <w:rPr>
          <w:rFonts w:ascii="Arial" w:eastAsia="Times New Roman" w:hAnsi="Arial"/>
          <w:color w:val="000000" w:themeColor="text1"/>
          <w:sz w:val="20"/>
          <w:szCs w:val="20"/>
        </w:rPr>
        <w:t>P.Chakradhar</w:t>
      </w:r>
      <w:proofErr w:type="spellEnd"/>
      <w:r w:rsidRPr="007364BD">
        <w:rPr>
          <w:rFonts w:ascii="Arial" w:eastAsia="Times New Roman" w:hAnsi="Arial"/>
          <w:color w:val="000000" w:themeColor="text1"/>
          <w:sz w:val="20"/>
          <w:szCs w:val="20"/>
        </w:rPr>
        <w:t xml:space="preserve">. (2024). A STUDY ON BEHAVIOURAL FINANCE AND ITS IMPACT ON DECISION MAKING OF AN INVESTMENT. EPRA International Journal of Economics, Business and Management Studies, 104–115. </w:t>
      </w:r>
      <w:hyperlink r:id="rId34" w:history="1">
        <w:r w:rsidRPr="007364BD">
          <w:rPr>
            <w:rStyle w:val="Hyperlink"/>
            <w:rFonts w:ascii="Arial" w:eastAsia="Times New Roman" w:hAnsi="Arial"/>
            <w:color w:val="000000" w:themeColor="text1"/>
            <w:sz w:val="20"/>
            <w:szCs w:val="20"/>
          </w:rPr>
          <w:t>https://doi.org/10.36713/epra16186</w:t>
        </w:r>
      </w:hyperlink>
      <w:r w:rsidRPr="007364BD">
        <w:rPr>
          <w:rFonts w:ascii="Arial" w:eastAsia="Times New Roman" w:hAnsi="Arial"/>
          <w:color w:val="000000" w:themeColor="text1"/>
          <w:sz w:val="20"/>
          <w:szCs w:val="20"/>
        </w:rPr>
        <w:t xml:space="preserve"> </w:t>
      </w:r>
    </w:p>
    <w:p w14:paraId="09D1B4CD" w14:textId="77777777" w:rsidR="00A304B4" w:rsidRPr="007364BD" w:rsidRDefault="00A304B4" w:rsidP="004E1F91">
      <w:pPr>
        <w:spacing w:line="276" w:lineRule="auto"/>
        <w:ind w:left="720" w:hanging="720"/>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Khanna, K. (2026). The Role of Mobile Investment Apps in Encouraging First-</w:t>
      </w:r>
      <w:r w:rsidRPr="007364BD">
        <w:rPr>
          <w:rFonts w:ascii="Arial" w:eastAsia="Times New Roman" w:hAnsi="Arial"/>
          <w:color w:val="000000" w:themeColor="text1"/>
          <w:sz w:val="20"/>
          <w:szCs w:val="20"/>
        </w:rPr>
        <w:t xml:space="preserve">Time Investors: Evidence from </w:t>
      </w:r>
      <w:proofErr w:type="spellStart"/>
      <w:r w:rsidRPr="007364BD">
        <w:rPr>
          <w:rFonts w:ascii="Arial" w:eastAsia="Times New Roman" w:hAnsi="Arial"/>
          <w:color w:val="000000" w:themeColor="text1"/>
          <w:sz w:val="20"/>
          <w:szCs w:val="20"/>
        </w:rPr>
        <w:t>Groww</w:t>
      </w:r>
      <w:proofErr w:type="spellEnd"/>
      <w:r w:rsidRPr="007364BD">
        <w:rPr>
          <w:rFonts w:ascii="Arial" w:eastAsia="Times New Roman" w:hAnsi="Arial"/>
          <w:color w:val="000000" w:themeColor="text1"/>
          <w:sz w:val="20"/>
          <w:szCs w:val="20"/>
        </w:rPr>
        <w:t xml:space="preserve"> and </w:t>
      </w:r>
      <w:proofErr w:type="spellStart"/>
      <w:r w:rsidRPr="007364BD">
        <w:rPr>
          <w:rFonts w:ascii="Arial" w:eastAsia="Times New Roman" w:hAnsi="Arial"/>
          <w:color w:val="000000" w:themeColor="text1"/>
          <w:sz w:val="20"/>
          <w:szCs w:val="20"/>
        </w:rPr>
        <w:t>Zerodha</w:t>
      </w:r>
      <w:proofErr w:type="spellEnd"/>
      <w:r w:rsidRPr="007364BD">
        <w:rPr>
          <w:rFonts w:ascii="Arial" w:eastAsia="Times New Roman" w:hAnsi="Arial"/>
          <w:color w:val="000000" w:themeColor="text1"/>
          <w:sz w:val="20"/>
          <w:szCs w:val="20"/>
        </w:rPr>
        <w:t xml:space="preserve">. International Journal </w:t>
      </w:r>
      <w:proofErr w:type="gramStart"/>
      <w:r w:rsidRPr="007364BD">
        <w:rPr>
          <w:rFonts w:ascii="Arial" w:eastAsia="Times New Roman" w:hAnsi="Arial"/>
          <w:color w:val="000000" w:themeColor="text1"/>
          <w:sz w:val="20"/>
          <w:szCs w:val="20"/>
        </w:rPr>
        <w:t>For</w:t>
      </w:r>
      <w:proofErr w:type="gramEnd"/>
      <w:r w:rsidRPr="007364BD">
        <w:rPr>
          <w:rFonts w:ascii="Arial" w:eastAsia="Times New Roman" w:hAnsi="Arial"/>
          <w:color w:val="000000" w:themeColor="text1"/>
          <w:sz w:val="20"/>
          <w:szCs w:val="20"/>
        </w:rPr>
        <w:t xml:space="preserve"> Multidisciplinary Research, 8(1). </w:t>
      </w:r>
      <w:hyperlink r:id="rId35" w:history="1">
        <w:r w:rsidRPr="007364BD">
          <w:rPr>
            <w:rStyle w:val="Hyperlink"/>
            <w:rFonts w:ascii="Arial" w:eastAsia="Times New Roman" w:hAnsi="Arial"/>
            <w:color w:val="000000" w:themeColor="text1"/>
            <w:sz w:val="20"/>
            <w:szCs w:val="20"/>
          </w:rPr>
          <w:t>https://doi.org/10.36948/ijfmr.2026.v08i01.66995</w:t>
        </w:r>
      </w:hyperlink>
      <w:r w:rsidRPr="007364BD">
        <w:rPr>
          <w:rFonts w:ascii="Arial" w:eastAsia="Times New Roman" w:hAnsi="Arial"/>
          <w:color w:val="000000" w:themeColor="text1"/>
          <w:sz w:val="20"/>
          <w:szCs w:val="20"/>
        </w:rPr>
        <w:t xml:space="preserve"> </w:t>
      </w:r>
    </w:p>
    <w:p w14:paraId="4D11E05B" w14:textId="77777777" w:rsidR="00A304B4" w:rsidRPr="007364BD" w:rsidRDefault="00A304B4" w:rsidP="004E1F91">
      <w:pPr>
        <w:spacing w:line="276" w:lineRule="auto"/>
        <w:ind w:left="720" w:hanging="720"/>
        <w:rPr>
          <w:rFonts w:ascii="Arial" w:eastAsia="Times New Roman" w:hAnsi="Arial"/>
          <w:color w:val="000000" w:themeColor="text1"/>
          <w:sz w:val="20"/>
          <w:szCs w:val="20"/>
        </w:rPr>
      </w:pPr>
      <w:proofErr w:type="spellStart"/>
      <w:r w:rsidRPr="007364BD">
        <w:rPr>
          <w:rFonts w:ascii="Arial" w:eastAsia="Times New Roman" w:hAnsi="Arial"/>
          <w:color w:val="000000" w:themeColor="text1"/>
          <w:sz w:val="20"/>
          <w:szCs w:val="20"/>
        </w:rPr>
        <w:t>Lakoni</w:t>
      </w:r>
      <w:proofErr w:type="spellEnd"/>
      <w:r w:rsidRPr="007364BD">
        <w:rPr>
          <w:rFonts w:ascii="Arial" w:eastAsia="Times New Roman" w:hAnsi="Arial"/>
          <w:color w:val="000000" w:themeColor="text1"/>
          <w:sz w:val="20"/>
          <w:szCs w:val="20"/>
        </w:rPr>
        <w:t xml:space="preserve">, I., </w:t>
      </w:r>
      <w:proofErr w:type="spellStart"/>
      <w:r w:rsidRPr="007364BD">
        <w:rPr>
          <w:rFonts w:ascii="Arial" w:eastAsia="Times New Roman" w:hAnsi="Arial"/>
          <w:color w:val="000000" w:themeColor="text1"/>
          <w:sz w:val="20"/>
          <w:szCs w:val="20"/>
        </w:rPr>
        <w:t>Nurazi</w:t>
      </w:r>
      <w:proofErr w:type="spellEnd"/>
      <w:r w:rsidRPr="007364BD">
        <w:rPr>
          <w:rFonts w:ascii="Arial" w:eastAsia="Times New Roman" w:hAnsi="Arial"/>
          <w:color w:val="000000" w:themeColor="text1"/>
          <w:sz w:val="20"/>
          <w:szCs w:val="20"/>
        </w:rPr>
        <w:t xml:space="preserve">, R., Aziza, N., &amp; Novitasari, N. (2023). Relationship of financial literacy to stock market participation. Journal of Economics and Business Letters, 3(6). </w:t>
      </w:r>
      <w:hyperlink r:id="rId36">
        <w:r w:rsidRPr="007364BD">
          <w:rPr>
            <w:rFonts w:ascii="Arial" w:eastAsia="Times New Roman" w:hAnsi="Arial"/>
            <w:color w:val="000000" w:themeColor="text1"/>
            <w:sz w:val="20"/>
            <w:szCs w:val="20"/>
            <w:u w:val="single"/>
          </w:rPr>
          <w:t>https://doi.org/10.55942/jebl.v3i6.270</w:t>
        </w:r>
      </w:hyperlink>
      <w:r w:rsidRPr="007364BD">
        <w:rPr>
          <w:rFonts w:ascii="Arial" w:eastAsia="Times New Roman" w:hAnsi="Arial"/>
          <w:color w:val="000000" w:themeColor="text1"/>
          <w:sz w:val="20"/>
          <w:szCs w:val="20"/>
        </w:rPr>
        <w:t xml:space="preserve"> </w:t>
      </w:r>
    </w:p>
    <w:p w14:paraId="41D8F2A1" w14:textId="77777777" w:rsidR="00A304B4" w:rsidRPr="007364BD" w:rsidRDefault="00A304B4" w:rsidP="004E1F91">
      <w:pPr>
        <w:spacing w:line="276" w:lineRule="auto"/>
        <w:ind w:left="720" w:hanging="720"/>
        <w:rPr>
          <w:rFonts w:ascii="Arial" w:eastAsia="Times New Roman" w:hAnsi="Arial"/>
          <w:color w:val="000000" w:themeColor="text1"/>
          <w:sz w:val="20"/>
          <w:szCs w:val="20"/>
          <w:lang w:val="en-ZW"/>
        </w:rPr>
      </w:pPr>
      <w:proofErr w:type="spellStart"/>
      <w:r w:rsidRPr="007364BD">
        <w:rPr>
          <w:rFonts w:ascii="Arial" w:eastAsia="Times New Roman" w:hAnsi="Arial"/>
          <w:color w:val="000000" w:themeColor="text1"/>
          <w:sz w:val="20"/>
          <w:szCs w:val="20"/>
          <w:lang w:val="en-ZW"/>
        </w:rPr>
        <w:t>Lakoni</w:t>
      </w:r>
      <w:proofErr w:type="spellEnd"/>
      <w:r w:rsidRPr="007364BD">
        <w:rPr>
          <w:rFonts w:ascii="Arial" w:eastAsia="Times New Roman" w:hAnsi="Arial"/>
          <w:color w:val="000000" w:themeColor="text1"/>
          <w:sz w:val="20"/>
          <w:szCs w:val="20"/>
          <w:lang w:val="en-ZW"/>
        </w:rPr>
        <w:t xml:space="preserve">, I., </w:t>
      </w:r>
      <w:proofErr w:type="spellStart"/>
      <w:r w:rsidRPr="007364BD">
        <w:rPr>
          <w:rFonts w:ascii="Arial" w:eastAsia="Times New Roman" w:hAnsi="Arial"/>
          <w:color w:val="000000" w:themeColor="text1"/>
          <w:sz w:val="20"/>
          <w:szCs w:val="20"/>
          <w:lang w:val="en-ZW"/>
        </w:rPr>
        <w:t>Nurazi</w:t>
      </w:r>
      <w:proofErr w:type="spellEnd"/>
      <w:r w:rsidRPr="007364BD">
        <w:rPr>
          <w:rFonts w:ascii="Arial" w:eastAsia="Times New Roman" w:hAnsi="Arial"/>
          <w:color w:val="000000" w:themeColor="text1"/>
          <w:sz w:val="20"/>
          <w:szCs w:val="20"/>
          <w:lang w:val="en-ZW"/>
        </w:rPr>
        <w:t xml:space="preserve">, R., Aziza, N., &amp; Novitasari, N. (2023). Relationship of financial literacy to stock market participation. Journal of Economics and Business Letters, 3(6). </w:t>
      </w:r>
      <w:hyperlink r:id="rId37" w:history="1">
        <w:r w:rsidRPr="007364BD">
          <w:rPr>
            <w:rStyle w:val="Hyperlink"/>
            <w:rFonts w:ascii="Arial" w:eastAsia="Times New Roman" w:hAnsi="Arial"/>
            <w:color w:val="000000" w:themeColor="text1"/>
            <w:sz w:val="20"/>
            <w:szCs w:val="20"/>
            <w:lang w:val="en-ZW"/>
          </w:rPr>
          <w:t>https://doi.org/10.55942/jebl.v3i6.270</w:t>
        </w:r>
      </w:hyperlink>
      <w:r w:rsidRPr="007364BD">
        <w:rPr>
          <w:rFonts w:ascii="Arial" w:eastAsia="Times New Roman" w:hAnsi="Arial"/>
          <w:color w:val="000000" w:themeColor="text1"/>
          <w:sz w:val="20"/>
          <w:szCs w:val="20"/>
          <w:lang w:val="en-ZW"/>
        </w:rPr>
        <w:t> </w:t>
      </w:r>
    </w:p>
    <w:p w14:paraId="3AE0CFB9" w14:textId="77777777" w:rsidR="00A304B4" w:rsidRPr="007364BD" w:rsidRDefault="00A304B4" w:rsidP="004E1F91">
      <w:pPr>
        <w:spacing w:line="276" w:lineRule="auto"/>
        <w:ind w:left="720" w:hanging="720"/>
        <w:rPr>
          <w:rFonts w:ascii="Arial" w:eastAsia="Times New Roman" w:hAnsi="Arial"/>
          <w:color w:val="000000" w:themeColor="text1"/>
          <w:sz w:val="20"/>
          <w:szCs w:val="20"/>
          <w:lang w:val="en-ZW"/>
        </w:rPr>
      </w:pPr>
      <w:proofErr w:type="spellStart"/>
      <w:r w:rsidRPr="007364BD">
        <w:rPr>
          <w:rFonts w:ascii="Arial" w:eastAsia="Times New Roman" w:hAnsi="Arial"/>
          <w:color w:val="000000" w:themeColor="text1"/>
          <w:sz w:val="20"/>
          <w:szCs w:val="20"/>
          <w:lang w:val="en-ZW"/>
        </w:rPr>
        <w:t>Lakoni</w:t>
      </w:r>
      <w:proofErr w:type="spellEnd"/>
      <w:r w:rsidRPr="007364BD">
        <w:rPr>
          <w:rFonts w:ascii="Arial" w:eastAsia="Times New Roman" w:hAnsi="Arial"/>
          <w:color w:val="000000" w:themeColor="text1"/>
          <w:sz w:val="20"/>
          <w:szCs w:val="20"/>
          <w:lang w:val="en-ZW"/>
        </w:rPr>
        <w:t xml:space="preserve">, I., </w:t>
      </w:r>
      <w:proofErr w:type="spellStart"/>
      <w:r w:rsidRPr="007364BD">
        <w:rPr>
          <w:rFonts w:ascii="Arial" w:eastAsia="Times New Roman" w:hAnsi="Arial"/>
          <w:color w:val="000000" w:themeColor="text1"/>
          <w:sz w:val="20"/>
          <w:szCs w:val="20"/>
          <w:lang w:val="en-ZW"/>
        </w:rPr>
        <w:t>Nurazi</w:t>
      </w:r>
      <w:proofErr w:type="spellEnd"/>
      <w:r w:rsidRPr="007364BD">
        <w:rPr>
          <w:rFonts w:ascii="Arial" w:eastAsia="Times New Roman" w:hAnsi="Arial"/>
          <w:color w:val="000000" w:themeColor="text1"/>
          <w:sz w:val="20"/>
          <w:szCs w:val="20"/>
          <w:lang w:val="en-ZW"/>
        </w:rPr>
        <w:t xml:space="preserve">, R., Aziza, N., &amp; Novitasari, N. (2023). Relationship of financial literacy to stock market participation. Journal of Economics and Business Letters, 3(6). </w:t>
      </w:r>
      <w:hyperlink r:id="rId38" w:history="1">
        <w:r w:rsidRPr="007364BD">
          <w:rPr>
            <w:rStyle w:val="Hyperlink"/>
            <w:rFonts w:ascii="Arial" w:eastAsia="Times New Roman" w:hAnsi="Arial"/>
            <w:color w:val="000000" w:themeColor="text1"/>
            <w:sz w:val="20"/>
            <w:szCs w:val="20"/>
            <w:lang w:val="en-ZW"/>
          </w:rPr>
          <w:t>https://doi.org/10.55942/jebl.v3i6.270</w:t>
        </w:r>
      </w:hyperlink>
      <w:r w:rsidRPr="007364BD">
        <w:rPr>
          <w:rFonts w:ascii="Arial" w:eastAsia="Times New Roman" w:hAnsi="Arial"/>
          <w:color w:val="000000" w:themeColor="text1"/>
          <w:sz w:val="20"/>
          <w:szCs w:val="20"/>
          <w:lang w:val="en-ZW"/>
        </w:rPr>
        <w:t> </w:t>
      </w:r>
    </w:p>
    <w:p w14:paraId="5D8DBFC0" w14:textId="77777777" w:rsidR="00A304B4" w:rsidRPr="007364BD" w:rsidRDefault="00A304B4" w:rsidP="004E1F91">
      <w:pPr>
        <w:spacing w:line="276" w:lineRule="auto"/>
        <w:ind w:left="720" w:hanging="720"/>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 xml:space="preserve">Lu, Z., Wu, J., Li, H., &amp; Galloway, B. (2023). Digital finance and stock market participation: The case of internet wealth management products in China. </w:t>
      </w:r>
      <w:r w:rsidRPr="007364BD">
        <w:rPr>
          <w:rFonts w:ascii="Arial" w:eastAsia="Times New Roman" w:hAnsi="Arial"/>
          <w:i/>
          <w:iCs/>
          <w:color w:val="000000" w:themeColor="text1"/>
          <w:sz w:val="20"/>
          <w:szCs w:val="20"/>
        </w:rPr>
        <w:t>Economic Systems</w:t>
      </w:r>
      <w:r w:rsidRPr="007364BD">
        <w:rPr>
          <w:rFonts w:ascii="Arial" w:eastAsia="Times New Roman" w:hAnsi="Arial"/>
          <w:color w:val="000000" w:themeColor="text1"/>
          <w:sz w:val="20"/>
          <w:szCs w:val="20"/>
        </w:rPr>
        <w:t xml:space="preserve">, 101148–101148. </w:t>
      </w:r>
      <w:hyperlink r:id="rId39">
        <w:r w:rsidRPr="007364BD">
          <w:rPr>
            <w:rFonts w:ascii="Arial" w:eastAsia="Times New Roman" w:hAnsi="Arial"/>
            <w:color w:val="000000" w:themeColor="text1"/>
            <w:sz w:val="20"/>
            <w:szCs w:val="20"/>
            <w:u w:val="single"/>
          </w:rPr>
          <w:t>https://doi.org/10.1016/j.ecosys.2023.101148</w:t>
        </w:r>
      </w:hyperlink>
      <w:r w:rsidRPr="007364BD">
        <w:rPr>
          <w:rFonts w:ascii="Arial" w:eastAsia="Times New Roman" w:hAnsi="Arial"/>
          <w:color w:val="000000" w:themeColor="text1"/>
          <w:sz w:val="20"/>
          <w:szCs w:val="20"/>
        </w:rPr>
        <w:t xml:space="preserve"> </w:t>
      </w:r>
    </w:p>
    <w:p w14:paraId="220216E6" w14:textId="77777777" w:rsidR="00A304B4" w:rsidRPr="007364BD" w:rsidRDefault="00A304B4" w:rsidP="004E1F91">
      <w:pPr>
        <w:spacing w:line="276" w:lineRule="auto"/>
        <w:ind w:left="720" w:hanging="720"/>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 xml:space="preserve">Lu, Z., Wu, J., Li, H., &amp; Galloway, B. (2024). Digital finance and stock market participation: The case of internet wealth management products in China. Economic Systems, 48(1), 101148. </w:t>
      </w:r>
      <w:hyperlink r:id="rId40">
        <w:r w:rsidRPr="007364BD">
          <w:rPr>
            <w:rFonts w:ascii="Arial" w:eastAsia="Times New Roman" w:hAnsi="Arial"/>
            <w:color w:val="000000" w:themeColor="text1"/>
            <w:sz w:val="20"/>
            <w:szCs w:val="20"/>
            <w:u w:val="single"/>
          </w:rPr>
          <w:t>https://doi.org/10.1016/j.ecosys.2023.101148</w:t>
        </w:r>
      </w:hyperlink>
      <w:r w:rsidRPr="007364BD">
        <w:rPr>
          <w:rFonts w:ascii="Arial" w:eastAsia="Times New Roman" w:hAnsi="Arial"/>
          <w:color w:val="000000" w:themeColor="text1"/>
          <w:sz w:val="20"/>
          <w:szCs w:val="20"/>
        </w:rPr>
        <w:t xml:space="preserve"> </w:t>
      </w:r>
    </w:p>
    <w:p w14:paraId="4535297B" w14:textId="77777777" w:rsidR="00A304B4" w:rsidRPr="007364BD" w:rsidRDefault="00A304B4" w:rsidP="004E1F91">
      <w:pPr>
        <w:spacing w:line="276" w:lineRule="auto"/>
        <w:ind w:left="720" w:hanging="720"/>
        <w:rPr>
          <w:rFonts w:ascii="Arial" w:eastAsia="Times New Roman" w:hAnsi="Arial"/>
          <w:color w:val="000000" w:themeColor="text1"/>
          <w:sz w:val="20"/>
          <w:szCs w:val="20"/>
          <w:lang w:val="en-ZW"/>
        </w:rPr>
      </w:pPr>
      <w:r w:rsidRPr="007364BD">
        <w:rPr>
          <w:rFonts w:ascii="Arial" w:eastAsia="Times New Roman" w:hAnsi="Arial"/>
          <w:color w:val="000000" w:themeColor="text1"/>
          <w:sz w:val="20"/>
          <w:szCs w:val="20"/>
          <w:lang w:val="en-ZW"/>
        </w:rPr>
        <w:t xml:space="preserve">Lye, C.-T., Tay, L.-Y., Ng, T.-H., &amp; Ahmad-Nazmi, A. N. (2025). A systematic literature review of fintech, financial inclusion and vulnerable groups. Discover Sustainability, 6(1). </w:t>
      </w:r>
      <w:hyperlink r:id="rId41" w:history="1">
        <w:r w:rsidRPr="007364BD">
          <w:rPr>
            <w:rStyle w:val="Hyperlink"/>
            <w:rFonts w:ascii="Arial" w:eastAsia="Times New Roman" w:hAnsi="Arial"/>
            <w:color w:val="000000" w:themeColor="text1"/>
            <w:sz w:val="20"/>
            <w:szCs w:val="20"/>
            <w:lang w:val="en-ZW"/>
          </w:rPr>
          <w:t>https://doi.org/10.1007/s43621-025-02368-2</w:t>
        </w:r>
      </w:hyperlink>
      <w:r w:rsidRPr="007364BD">
        <w:rPr>
          <w:rFonts w:ascii="Arial" w:eastAsia="Times New Roman" w:hAnsi="Arial"/>
          <w:color w:val="000000" w:themeColor="text1"/>
          <w:sz w:val="20"/>
          <w:szCs w:val="20"/>
          <w:lang w:val="en-ZW"/>
        </w:rPr>
        <w:t> </w:t>
      </w:r>
    </w:p>
    <w:p w14:paraId="238528CE" w14:textId="77777777" w:rsidR="00A304B4" w:rsidRPr="007364BD" w:rsidRDefault="00A304B4" w:rsidP="004E1F91">
      <w:pPr>
        <w:spacing w:line="276" w:lineRule="auto"/>
        <w:ind w:left="720" w:hanging="720"/>
        <w:rPr>
          <w:rFonts w:ascii="Arial" w:eastAsia="Times New Roman" w:hAnsi="Arial"/>
          <w:color w:val="000000" w:themeColor="text1"/>
          <w:sz w:val="20"/>
          <w:szCs w:val="20"/>
          <w:lang w:val="en-ZW"/>
        </w:rPr>
      </w:pPr>
      <w:r w:rsidRPr="007364BD">
        <w:rPr>
          <w:rFonts w:ascii="Arial" w:eastAsia="Times New Roman" w:hAnsi="Arial"/>
          <w:color w:val="000000" w:themeColor="text1"/>
          <w:sz w:val="20"/>
          <w:szCs w:val="20"/>
          <w:lang w:val="en-ZW"/>
        </w:rPr>
        <w:t>Manoj Kumar M, Nasser Almuraqab, Immanuel Azaad Moonesar, Braendle, U. C., &amp; Rao, A. (2024). How critical is SME financial literacy and digital financial access for financial and economic development in the expanded BRICS block? </w:t>
      </w:r>
      <w:r w:rsidRPr="007364BD">
        <w:rPr>
          <w:rFonts w:ascii="Arial" w:eastAsia="Times New Roman" w:hAnsi="Arial"/>
          <w:i/>
          <w:iCs/>
          <w:color w:val="000000" w:themeColor="text1"/>
          <w:sz w:val="20"/>
          <w:szCs w:val="20"/>
          <w:lang w:val="en-ZW"/>
        </w:rPr>
        <w:t>Frontiers in Big Data</w:t>
      </w:r>
      <w:r w:rsidRPr="007364BD">
        <w:rPr>
          <w:rFonts w:ascii="Arial" w:eastAsia="Times New Roman" w:hAnsi="Arial"/>
          <w:color w:val="000000" w:themeColor="text1"/>
          <w:sz w:val="20"/>
          <w:szCs w:val="20"/>
          <w:lang w:val="en-ZW"/>
        </w:rPr>
        <w:t>, </w:t>
      </w:r>
      <w:r w:rsidRPr="007364BD">
        <w:rPr>
          <w:rFonts w:ascii="Arial" w:eastAsia="Times New Roman" w:hAnsi="Arial"/>
          <w:i/>
          <w:iCs/>
          <w:color w:val="000000" w:themeColor="text1"/>
          <w:sz w:val="20"/>
          <w:szCs w:val="20"/>
          <w:lang w:val="en-ZW"/>
        </w:rPr>
        <w:t>7</w:t>
      </w:r>
      <w:r w:rsidRPr="007364BD">
        <w:rPr>
          <w:rFonts w:ascii="Arial" w:eastAsia="Times New Roman" w:hAnsi="Arial"/>
          <w:color w:val="000000" w:themeColor="text1"/>
          <w:sz w:val="20"/>
          <w:szCs w:val="20"/>
          <w:lang w:val="en-ZW"/>
        </w:rPr>
        <w:t xml:space="preserve">. </w:t>
      </w:r>
      <w:hyperlink r:id="rId42" w:history="1">
        <w:r w:rsidRPr="007364BD">
          <w:rPr>
            <w:rStyle w:val="Hyperlink"/>
            <w:rFonts w:ascii="Arial" w:eastAsia="Times New Roman" w:hAnsi="Arial"/>
            <w:color w:val="000000" w:themeColor="text1"/>
            <w:sz w:val="20"/>
            <w:szCs w:val="20"/>
            <w:lang w:val="en-ZW"/>
          </w:rPr>
          <w:t>https://doi.org/10.3389/fdata.2024.1448571</w:t>
        </w:r>
      </w:hyperlink>
      <w:r w:rsidRPr="007364BD">
        <w:rPr>
          <w:rFonts w:ascii="Arial" w:eastAsia="Times New Roman" w:hAnsi="Arial"/>
          <w:color w:val="000000" w:themeColor="text1"/>
          <w:sz w:val="20"/>
          <w:szCs w:val="20"/>
          <w:lang w:val="en-ZW"/>
        </w:rPr>
        <w:t xml:space="preserve"> </w:t>
      </w:r>
    </w:p>
    <w:p w14:paraId="467B2780" w14:textId="77777777" w:rsidR="00A304B4" w:rsidRPr="007364BD" w:rsidRDefault="00A304B4" w:rsidP="004E1F91">
      <w:pPr>
        <w:spacing w:line="276" w:lineRule="auto"/>
        <w:ind w:left="720" w:hanging="720"/>
        <w:rPr>
          <w:rFonts w:ascii="Arial" w:eastAsia="Times New Roman" w:hAnsi="Arial"/>
          <w:color w:val="000000" w:themeColor="text1"/>
          <w:sz w:val="20"/>
          <w:szCs w:val="20"/>
          <w:lang w:val="en-ZW"/>
        </w:rPr>
      </w:pPr>
      <w:r w:rsidRPr="007364BD">
        <w:rPr>
          <w:rFonts w:ascii="Arial" w:eastAsia="Times New Roman" w:hAnsi="Arial"/>
          <w:color w:val="000000" w:themeColor="text1"/>
          <w:sz w:val="20"/>
          <w:szCs w:val="20"/>
          <w:lang w:val="en-ZW"/>
        </w:rPr>
        <w:t xml:space="preserve">Mohapatra, N., Das, M., Shekhar, S., Singh, R., Khan, S., Tewari, L. M., Félix, M. J., &amp; Santos, G. (2025). Assessing the Role of Financial Literacy in FinTech Adoption by MSEs: Ensuring Sustainability Through a Fuzzy AHP Approach. Sustainability, 17(10), 4340. </w:t>
      </w:r>
      <w:hyperlink r:id="rId43" w:history="1">
        <w:r w:rsidRPr="007364BD">
          <w:rPr>
            <w:rStyle w:val="Hyperlink"/>
            <w:rFonts w:ascii="Arial" w:eastAsia="Times New Roman" w:hAnsi="Arial"/>
            <w:color w:val="000000" w:themeColor="text1"/>
            <w:sz w:val="20"/>
            <w:szCs w:val="20"/>
            <w:lang w:val="en-ZW"/>
          </w:rPr>
          <w:t>https://doi.org/10.3390/su17104340</w:t>
        </w:r>
      </w:hyperlink>
      <w:r w:rsidRPr="007364BD">
        <w:rPr>
          <w:rFonts w:ascii="Arial" w:eastAsia="Times New Roman" w:hAnsi="Arial"/>
          <w:color w:val="000000" w:themeColor="text1"/>
          <w:sz w:val="20"/>
          <w:szCs w:val="20"/>
          <w:lang w:val="en-ZW"/>
        </w:rPr>
        <w:t> </w:t>
      </w:r>
    </w:p>
    <w:p w14:paraId="7DA729F8" w14:textId="77777777" w:rsidR="00A304B4" w:rsidRPr="007364BD" w:rsidRDefault="00A304B4" w:rsidP="004E1F91">
      <w:pPr>
        <w:spacing w:line="276" w:lineRule="auto"/>
        <w:ind w:left="720" w:hanging="720"/>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 xml:space="preserve">Nathanael, A. C., &amp; </w:t>
      </w:r>
      <w:proofErr w:type="spellStart"/>
      <w:r w:rsidRPr="007364BD">
        <w:rPr>
          <w:rFonts w:ascii="Arial" w:eastAsia="Times New Roman" w:hAnsi="Arial"/>
          <w:color w:val="000000" w:themeColor="text1"/>
          <w:sz w:val="20"/>
          <w:szCs w:val="20"/>
        </w:rPr>
        <w:t>Ngollo</w:t>
      </w:r>
      <w:proofErr w:type="spellEnd"/>
      <w:r w:rsidRPr="007364BD">
        <w:rPr>
          <w:rFonts w:ascii="Arial" w:eastAsia="Times New Roman" w:hAnsi="Arial"/>
          <w:color w:val="000000" w:themeColor="text1"/>
          <w:sz w:val="20"/>
          <w:szCs w:val="20"/>
        </w:rPr>
        <w:t xml:space="preserve">, M. I. (2025). Exploring the Fintech, financial literacy, and stock market participants nexus in the Dar es Salaam Stock Exchange, Tanzania. Asian Management and Business Review, 383–401. </w:t>
      </w:r>
      <w:hyperlink r:id="rId44">
        <w:r w:rsidRPr="007364BD">
          <w:rPr>
            <w:rFonts w:ascii="Arial" w:eastAsia="Times New Roman" w:hAnsi="Arial"/>
            <w:color w:val="000000" w:themeColor="text1"/>
            <w:sz w:val="20"/>
            <w:szCs w:val="20"/>
            <w:u w:val="single"/>
          </w:rPr>
          <w:t>https://doi.org/10.20885/ambr.vol5.iss2.art9</w:t>
        </w:r>
      </w:hyperlink>
      <w:r w:rsidRPr="007364BD">
        <w:rPr>
          <w:rFonts w:ascii="Arial" w:eastAsia="Times New Roman" w:hAnsi="Arial"/>
          <w:color w:val="000000" w:themeColor="text1"/>
          <w:sz w:val="20"/>
          <w:szCs w:val="20"/>
        </w:rPr>
        <w:t xml:space="preserve"> </w:t>
      </w:r>
    </w:p>
    <w:p w14:paraId="11021272" w14:textId="77777777" w:rsidR="00A304B4" w:rsidRPr="007364BD" w:rsidRDefault="00A304B4" w:rsidP="004E1F91">
      <w:pPr>
        <w:spacing w:line="276" w:lineRule="auto"/>
        <w:ind w:left="720" w:hanging="720"/>
        <w:rPr>
          <w:rFonts w:ascii="Arial" w:eastAsia="Times New Roman" w:hAnsi="Arial"/>
          <w:color w:val="000000" w:themeColor="text1"/>
          <w:sz w:val="20"/>
          <w:szCs w:val="20"/>
        </w:rPr>
      </w:pPr>
      <w:proofErr w:type="spellStart"/>
      <w:r w:rsidRPr="007364BD">
        <w:rPr>
          <w:rFonts w:ascii="Arial" w:eastAsia="Times New Roman" w:hAnsi="Arial"/>
          <w:color w:val="000000" w:themeColor="text1"/>
          <w:sz w:val="20"/>
          <w:szCs w:val="20"/>
        </w:rPr>
        <w:t>Nilawati</w:t>
      </w:r>
      <w:proofErr w:type="spellEnd"/>
      <w:r w:rsidRPr="007364BD">
        <w:rPr>
          <w:rFonts w:ascii="Arial" w:eastAsia="Times New Roman" w:hAnsi="Arial"/>
          <w:color w:val="000000" w:themeColor="text1"/>
          <w:sz w:val="20"/>
          <w:szCs w:val="20"/>
        </w:rPr>
        <w:t xml:space="preserve">, O., &amp; </w:t>
      </w:r>
      <w:proofErr w:type="spellStart"/>
      <w:r w:rsidRPr="007364BD">
        <w:rPr>
          <w:rFonts w:ascii="Arial" w:eastAsia="Times New Roman" w:hAnsi="Arial"/>
          <w:color w:val="000000" w:themeColor="text1"/>
          <w:sz w:val="20"/>
          <w:szCs w:val="20"/>
        </w:rPr>
        <w:t>Ainiah</w:t>
      </w:r>
      <w:proofErr w:type="spellEnd"/>
      <w:r w:rsidRPr="007364BD">
        <w:rPr>
          <w:rFonts w:ascii="Arial" w:eastAsia="Times New Roman" w:hAnsi="Arial"/>
          <w:color w:val="000000" w:themeColor="text1"/>
          <w:sz w:val="20"/>
          <w:szCs w:val="20"/>
        </w:rPr>
        <w:t xml:space="preserve">, L. (2025). Financial Literacy and Investment Decision-Making Tendencies: A Comparative Study between Millennials and Gen Z in Indonesia. International Journal of Social Science Research and Review, 8(7), 452–466. </w:t>
      </w:r>
      <w:hyperlink r:id="rId45" w:history="1">
        <w:r w:rsidRPr="007364BD">
          <w:rPr>
            <w:rStyle w:val="Hyperlink"/>
            <w:rFonts w:ascii="Arial" w:eastAsia="Times New Roman" w:hAnsi="Arial"/>
            <w:color w:val="000000" w:themeColor="text1"/>
            <w:sz w:val="20"/>
            <w:szCs w:val="20"/>
          </w:rPr>
          <w:t>https://doi.org/10.47814/ijssrr.v8i7.2838</w:t>
        </w:r>
      </w:hyperlink>
      <w:r w:rsidRPr="007364BD">
        <w:rPr>
          <w:rFonts w:ascii="Arial" w:eastAsia="Times New Roman" w:hAnsi="Arial"/>
          <w:color w:val="000000" w:themeColor="text1"/>
          <w:sz w:val="20"/>
          <w:szCs w:val="20"/>
        </w:rPr>
        <w:t xml:space="preserve"> </w:t>
      </w:r>
    </w:p>
    <w:p w14:paraId="178A62ED" w14:textId="77777777" w:rsidR="00A304B4" w:rsidRPr="007364BD" w:rsidRDefault="00A304B4" w:rsidP="004E1F91">
      <w:pPr>
        <w:spacing w:line="276" w:lineRule="auto"/>
        <w:ind w:left="720" w:hanging="720"/>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 xml:space="preserve">Niranjan B, Muthumani S, &amp; Dr. </w:t>
      </w:r>
      <w:proofErr w:type="spellStart"/>
      <w:r w:rsidRPr="007364BD">
        <w:rPr>
          <w:rFonts w:ascii="Arial" w:eastAsia="Times New Roman" w:hAnsi="Arial"/>
          <w:color w:val="000000" w:themeColor="text1"/>
          <w:sz w:val="20"/>
          <w:szCs w:val="20"/>
        </w:rPr>
        <w:t>Priyada</w:t>
      </w:r>
      <w:proofErr w:type="spellEnd"/>
      <w:r w:rsidRPr="007364BD">
        <w:rPr>
          <w:rFonts w:ascii="Arial" w:eastAsia="Times New Roman" w:hAnsi="Arial"/>
          <w:color w:val="000000" w:themeColor="text1"/>
          <w:sz w:val="20"/>
          <w:szCs w:val="20"/>
        </w:rPr>
        <w:t xml:space="preserve"> Vinod. (2025). A Study on the Impact of Trading Apps on Enhancing the Financial Literacy of First-Time Retail Investors. International Journal of Contemporary Research in Multidisciplinary. </w:t>
      </w:r>
      <w:hyperlink r:id="rId46">
        <w:r w:rsidRPr="007364BD">
          <w:rPr>
            <w:rFonts w:ascii="Arial" w:eastAsia="Times New Roman" w:hAnsi="Arial"/>
            <w:color w:val="000000" w:themeColor="text1"/>
            <w:sz w:val="20"/>
            <w:szCs w:val="20"/>
            <w:u w:val="single"/>
          </w:rPr>
          <w:t>https://doi.org/10.5281/ZENODO.17481293</w:t>
        </w:r>
      </w:hyperlink>
      <w:r w:rsidRPr="007364BD">
        <w:rPr>
          <w:rFonts w:ascii="Arial" w:eastAsia="Times New Roman" w:hAnsi="Arial"/>
          <w:color w:val="000000" w:themeColor="text1"/>
          <w:sz w:val="20"/>
          <w:szCs w:val="20"/>
        </w:rPr>
        <w:t xml:space="preserve"> </w:t>
      </w:r>
    </w:p>
    <w:p w14:paraId="3301EAD3" w14:textId="77777777" w:rsidR="00A304B4" w:rsidRPr="007364BD" w:rsidRDefault="00A304B4" w:rsidP="004E1F91">
      <w:pPr>
        <w:spacing w:line="276" w:lineRule="auto"/>
        <w:ind w:left="720" w:hanging="720"/>
        <w:rPr>
          <w:rFonts w:ascii="Arial" w:eastAsia="Times New Roman" w:hAnsi="Arial"/>
          <w:color w:val="000000" w:themeColor="text1"/>
          <w:sz w:val="20"/>
          <w:szCs w:val="20"/>
          <w:lang w:val="en-ZW"/>
        </w:rPr>
      </w:pPr>
      <w:r w:rsidRPr="007364BD">
        <w:rPr>
          <w:rFonts w:ascii="Arial" w:eastAsia="Times New Roman" w:hAnsi="Arial"/>
          <w:color w:val="000000" w:themeColor="text1"/>
          <w:sz w:val="20"/>
          <w:szCs w:val="20"/>
          <w:lang w:val="en-ZW"/>
        </w:rPr>
        <w:t xml:space="preserve">Pant, S., &amp; Agarwal, M. (2024, March 5). </w:t>
      </w:r>
      <w:r w:rsidRPr="007364BD">
        <w:rPr>
          <w:rFonts w:ascii="Arial" w:eastAsia="Times New Roman" w:hAnsi="Arial"/>
          <w:i/>
          <w:iCs/>
          <w:color w:val="000000" w:themeColor="text1"/>
          <w:sz w:val="20"/>
          <w:szCs w:val="20"/>
          <w:lang w:val="en-ZW"/>
        </w:rPr>
        <w:t>Digital financial literacy and fintech adoption</w:t>
      </w:r>
      <w:r w:rsidRPr="007364BD">
        <w:rPr>
          <w:rFonts w:ascii="Arial" w:eastAsia="Times New Roman" w:hAnsi="Arial"/>
          <w:color w:val="000000" w:themeColor="text1"/>
          <w:sz w:val="20"/>
          <w:szCs w:val="20"/>
          <w:lang w:val="en-ZW"/>
        </w:rPr>
        <w:t xml:space="preserve">. ResearchGate; unknown. </w:t>
      </w:r>
      <w:hyperlink r:id="rId47" w:history="1">
        <w:r w:rsidRPr="007364BD">
          <w:rPr>
            <w:rStyle w:val="Hyperlink"/>
            <w:rFonts w:ascii="Arial" w:eastAsia="Times New Roman" w:hAnsi="Arial"/>
            <w:color w:val="000000" w:themeColor="text1"/>
            <w:sz w:val="20"/>
            <w:szCs w:val="20"/>
            <w:lang w:val="en-ZW"/>
          </w:rPr>
          <w:t>https://www.researchgate.net/publication/378715559_Digital_financial_literacy_and_fintech_adoption</w:t>
        </w:r>
      </w:hyperlink>
      <w:r w:rsidRPr="007364BD">
        <w:rPr>
          <w:rFonts w:ascii="Arial" w:eastAsia="Times New Roman" w:hAnsi="Arial"/>
          <w:color w:val="000000" w:themeColor="text1"/>
          <w:sz w:val="20"/>
          <w:szCs w:val="20"/>
          <w:lang w:val="en-ZW"/>
        </w:rPr>
        <w:t xml:space="preserve"> . </w:t>
      </w:r>
    </w:p>
    <w:p w14:paraId="6B9A7A7D" w14:textId="77777777" w:rsidR="00A304B4" w:rsidRPr="007364BD" w:rsidRDefault="00A304B4" w:rsidP="004E1F91">
      <w:pPr>
        <w:spacing w:line="276" w:lineRule="auto"/>
        <w:ind w:left="720" w:hanging="720"/>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 xml:space="preserve">Pereira, L. M., Sanchez Rodrigues, V., &amp; </w:t>
      </w:r>
      <w:proofErr w:type="spellStart"/>
      <w:r w:rsidRPr="007364BD">
        <w:rPr>
          <w:rFonts w:ascii="Arial" w:eastAsia="Times New Roman" w:hAnsi="Arial"/>
          <w:color w:val="000000" w:themeColor="text1"/>
          <w:sz w:val="20"/>
          <w:szCs w:val="20"/>
        </w:rPr>
        <w:t>Freires</w:t>
      </w:r>
      <w:proofErr w:type="spellEnd"/>
      <w:r w:rsidRPr="007364BD">
        <w:rPr>
          <w:rFonts w:ascii="Arial" w:eastAsia="Times New Roman" w:hAnsi="Arial"/>
          <w:color w:val="000000" w:themeColor="text1"/>
          <w:sz w:val="20"/>
          <w:szCs w:val="20"/>
        </w:rPr>
        <w:t xml:space="preserve">, F. G. M. (2024). Use of Partial Least Squares Structural Equation </w:t>
      </w:r>
      <w:proofErr w:type="spellStart"/>
      <w:r w:rsidRPr="007364BD">
        <w:rPr>
          <w:rFonts w:ascii="Arial" w:eastAsia="Times New Roman" w:hAnsi="Arial"/>
          <w:color w:val="000000" w:themeColor="text1"/>
          <w:sz w:val="20"/>
          <w:szCs w:val="20"/>
        </w:rPr>
        <w:t>Modeling</w:t>
      </w:r>
      <w:proofErr w:type="spellEnd"/>
      <w:r w:rsidRPr="007364BD">
        <w:rPr>
          <w:rFonts w:ascii="Arial" w:eastAsia="Times New Roman" w:hAnsi="Arial"/>
          <w:color w:val="000000" w:themeColor="text1"/>
          <w:sz w:val="20"/>
          <w:szCs w:val="20"/>
        </w:rPr>
        <w:t xml:space="preserve"> (PLS-SEM) to Improve Plastic Waste Management. Applied Sciences, 14(2), 628. </w:t>
      </w:r>
      <w:hyperlink r:id="rId48" w:history="1">
        <w:r w:rsidRPr="007364BD">
          <w:rPr>
            <w:rStyle w:val="Hyperlink"/>
            <w:rFonts w:ascii="Arial" w:eastAsia="Times New Roman" w:hAnsi="Arial"/>
            <w:color w:val="000000" w:themeColor="text1"/>
            <w:sz w:val="20"/>
            <w:szCs w:val="20"/>
          </w:rPr>
          <w:t>https://doi.org/10.3390/app14020628</w:t>
        </w:r>
      </w:hyperlink>
      <w:r w:rsidRPr="007364BD">
        <w:rPr>
          <w:rFonts w:ascii="Arial" w:eastAsia="Times New Roman" w:hAnsi="Arial"/>
          <w:color w:val="000000" w:themeColor="text1"/>
          <w:sz w:val="20"/>
          <w:szCs w:val="20"/>
        </w:rPr>
        <w:t xml:space="preserve"> </w:t>
      </w:r>
    </w:p>
    <w:p w14:paraId="205A0573" w14:textId="77777777" w:rsidR="00A304B4" w:rsidRPr="007364BD" w:rsidRDefault="00A304B4" w:rsidP="004E1F91">
      <w:pPr>
        <w:spacing w:line="276" w:lineRule="auto"/>
        <w:ind w:left="720" w:hanging="720"/>
        <w:rPr>
          <w:rFonts w:ascii="Arial" w:eastAsia="Times New Roman" w:hAnsi="Arial"/>
          <w:color w:val="000000" w:themeColor="text1"/>
          <w:sz w:val="20"/>
          <w:szCs w:val="20"/>
          <w:lang w:val="en-ZW"/>
        </w:rPr>
      </w:pPr>
      <w:r w:rsidRPr="007364BD">
        <w:rPr>
          <w:rFonts w:ascii="Arial" w:eastAsia="Times New Roman" w:hAnsi="Arial"/>
          <w:color w:val="000000" w:themeColor="text1"/>
          <w:sz w:val="20"/>
          <w:szCs w:val="20"/>
          <w:lang w:val="en-ZW"/>
        </w:rPr>
        <w:t xml:space="preserve">Phung, T. M. T., &amp; Nguyen, L. D. (2025). The effect of financial literacy and fintech </w:t>
      </w:r>
      <w:r w:rsidRPr="007364BD">
        <w:rPr>
          <w:rFonts w:ascii="Arial" w:eastAsia="Times New Roman" w:hAnsi="Arial"/>
          <w:color w:val="000000" w:themeColor="text1"/>
          <w:sz w:val="20"/>
          <w:szCs w:val="20"/>
          <w:lang w:val="en-ZW"/>
        </w:rPr>
        <w:t xml:space="preserve">usage on income levels: a study in Vietnam. Journal of Electronic Business &amp;amp; Digital Economics, 4(2), 317–333. </w:t>
      </w:r>
      <w:hyperlink r:id="rId49" w:history="1">
        <w:r w:rsidRPr="007364BD">
          <w:rPr>
            <w:rStyle w:val="Hyperlink"/>
            <w:rFonts w:ascii="Arial" w:eastAsia="Times New Roman" w:hAnsi="Arial"/>
            <w:color w:val="000000" w:themeColor="text1"/>
            <w:sz w:val="20"/>
            <w:szCs w:val="20"/>
            <w:lang w:val="en-ZW"/>
          </w:rPr>
          <w:t>https://doi.org/10.1108/jebde-03-2025-0019</w:t>
        </w:r>
      </w:hyperlink>
      <w:r w:rsidRPr="007364BD">
        <w:rPr>
          <w:rFonts w:ascii="Arial" w:eastAsia="Times New Roman" w:hAnsi="Arial"/>
          <w:color w:val="000000" w:themeColor="text1"/>
          <w:sz w:val="20"/>
          <w:szCs w:val="20"/>
          <w:lang w:val="en-ZW"/>
        </w:rPr>
        <w:t> </w:t>
      </w:r>
    </w:p>
    <w:p w14:paraId="388FBFF4" w14:textId="77777777" w:rsidR="00A304B4" w:rsidRPr="007364BD" w:rsidRDefault="00A304B4" w:rsidP="004E1F91">
      <w:pPr>
        <w:spacing w:line="276" w:lineRule="auto"/>
        <w:ind w:left="720" w:hanging="720"/>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 xml:space="preserve">Radić, A., Bobek, S., Arsić, S., Nikolić, Đ., &amp; Sternad Zabukovšek, S. (2025). An Integrated PLS-SEM-TOPSIS-Sort Approach for Assessing ERP Solutions Acceptance Across Various Industries. Information, 16(11), 954. </w:t>
      </w:r>
      <w:hyperlink r:id="rId50" w:history="1">
        <w:r w:rsidRPr="007364BD">
          <w:rPr>
            <w:rStyle w:val="Hyperlink"/>
            <w:rFonts w:ascii="Arial" w:eastAsia="Times New Roman" w:hAnsi="Arial"/>
            <w:color w:val="000000" w:themeColor="text1"/>
            <w:sz w:val="20"/>
            <w:szCs w:val="20"/>
          </w:rPr>
          <w:t>https://doi.org/10.3390/info16110954</w:t>
        </w:r>
      </w:hyperlink>
      <w:r w:rsidRPr="007364BD">
        <w:rPr>
          <w:rFonts w:ascii="Arial" w:eastAsia="Times New Roman" w:hAnsi="Arial"/>
          <w:color w:val="000000" w:themeColor="text1"/>
          <w:sz w:val="20"/>
          <w:szCs w:val="20"/>
        </w:rPr>
        <w:t xml:space="preserve"> </w:t>
      </w:r>
    </w:p>
    <w:p w14:paraId="7DC3CFCD" w14:textId="77777777" w:rsidR="00A304B4" w:rsidRPr="007364BD" w:rsidRDefault="00A304B4" w:rsidP="004E1F91">
      <w:pPr>
        <w:spacing w:line="276" w:lineRule="auto"/>
        <w:ind w:left="720" w:hanging="720"/>
        <w:rPr>
          <w:rFonts w:ascii="Arial" w:eastAsia="Times New Roman" w:hAnsi="Arial"/>
          <w:color w:val="000000" w:themeColor="text1"/>
          <w:sz w:val="20"/>
          <w:szCs w:val="20"/>
          <w:lang w:val="en-ZW"/>
        </w:rPr>
      </w:pPr>
      <w:proofErr w:type="spellStart"/>
      <w:r w:rsidRPr="007364BD">
        <w:rPr>
          <w:rFonts w:ascii="Arial" w:eastAsia="Times New Roman" w:hAnsi="Arial"/>
          <w:color w:val="000000" w:themeColor="text1"/>
          <w:sz w:val="20"/>
          <w:szCs w:val="20"/>
          <w:lang w:val="en-ZW"/>
        </w:rPr>
        <w:t>Rohaeni</w:t>
      </w:r>
      <w:proofErr w:type="spellEnd"/>
      <w:r w:rsidRPr="007364BD">
        <w:rPr>
          <w:rFonts w:ascii="Arial" w:eastAsia="Times New Roman" w:hAnsi="Arial"/>
          <w:color w:val="000000" w:themeColor="text1"/>
          <w:sz w:val="20"/>
          <w:szCs w:val="20"/>
          <w:lang w:val="en-ZW"/>
        </w:rPr>
        <w:t xml:space="preserve">, N., </w:t>
      </w:r>
      <w:proofErr w:type="spellStart"/>
      <w:r w:rsidRPr="007364BD">
        <w:rPr>
          <w:rFonts w:ascii="Arial" w:eastAsia="Times New Roman" w:hAnsi="Arial"/>
          <w:color w:val="000000" w:themeColor="text1"/>
          <w:sz w:val="20"/>
          <w:szCs w:val="20"/>
          <w:lang w:val="en-ZW"/>
        </w:rPr>
        <w:t>Meutia</w:t>
      </w:r>
      <w:proofErr w:type="spellEnd"/>
      <w:r w:rsidRPr="007364BD">
        <w:rPr>
          <w:rFonts w:ascii="Arial" w:eastAsia="Times New Roman" w:hAnsi="Arial"/>
          <w:color w:val="000000" w:themeColor="text1"/>
          <w:sz w:val="20"/>
          <w:szCs w:val="20"/>
          <w:lang w:val="en-ZW"/>
        </w:rPr>
        <w:t xml:space="preserve">, M., </w:t>
      </w:r>
      <w:proofErr w:type="spellStart"/>
      <w:r w:rsidRPr="007364BD">
        <w:rPr>
          <w:rFonts w:ascii="Arial" w:eastAsia="Times New Roman" w:hAnsi="Arial"/>
          <w:color w:val="000000" w:themeColor="text1"/>
          <w:sz w:val="20"/>
          <w:szCs w:val="20"/>
          <w:lang w:val="en-ZW"/>
        </w:rPr>
        <w:t>Indriana</w:t>
      </w:r>
      <w:proofErr w:type="spellEnd"/>
      <w:r w:rsidRPr="007364BD">
        <w:rPr>
          <w:rFonts w:ascii="Arial" w:eastAsia="Times New Roman" w:hAnsi="Arial"/>
          <w:color w:val="000000" w:themeColor="text1"/>
          <w:sz w:val="20"/>
          <w:szCs w:val="20"/>
          <w:lang w:val="en-ZW"/>
        </w:rPr>
        <w:t xml:space="preserve">, I., &amp; </w:t>
      </w:r>
      <w:proofErr w:type="spellStart"/>
      <w:r w:rsidRPr="007364BD">
        <w:rPr>
          <w:rFonts w:ascii="Arial" w:eastAsia="Times New Roman" w:hAnsi="Arial"/>
          <w:color w:val="000000" w:themeColor="text1"/>
          <w:sz w:val="20"/>
          <w:szCs w:val="20"/>
          <w:lang w:val="en-ZW"/>
        </w:rPr>
        <w:t>Januarsi</w:t>
      </w:r>
      <w:proofErr w:type="spellEnd"/>
      <w:r w:rsidRPr="007364BD">
        <w:rPr>
          <w:rFonts w:ascii="Arial" w:eastAsia="Times New Roman" w:hAnsi="Arial"/>
          <w:color w:val="000000" w:themeColor="text1"/>
          <w:sz w:val="20"/>
          <w:szCs w:val="20"/>
          <w:lang w:val="en-ZW"/>
        </w:rPr>
        <w:t xml:space="preserve">, Y. (2026). Financial literacy, FinTech, and inclusion for MSME growth in Banten province. Discover Sustainability, 7(1). </w:t>
      </w:r>
      <w:hyperlink r:id="rId51" w:history="1">
        <w:r w:rsidRPr="007364BD">
          <w:rPr>
            <w:rStyle w:val="Hyperlink"/>
            <w:rFonts w:ascii="Arial" w:eastAsia="Times New Roman" w:hAnsi="Arial"/>
            <w:color w:val="000000" w:themeColor="text1"/>
            <w:sz w:val="20"/>
            <w:szCs w:val="20"/>
            <w:lang w:val="en-ZW"/>
          </w:rPr>
          <w:t>https://doi.org/10.1007/s43621-026-02869-8</w:t>
        </w:r>
      </w:hyperlink>
      <w:r w:rsidRPr="007364BD">
        <w:rPr>
          <w:rFonts w:ascii="Arial" w:eastAsia="Times New Roman" w:hAnsi="Arial"/>
          <w:color w:val="000000" w:themeColor="text1"/>
          <w:sz w:val="20"/>
          <w:szCs w:val="20"/>
          <w:lang w:val="en-ZW"/>
        </w:rPr>
        <w:t> </w:t>
      </w:r>
    </w:p>
    <w:p w14:paraId="5C07D558" w14:textId="77777777" w:rsidR="00A304B4" w:rsidRPr="007364BD" w:rsidRDefault="00A304B4" w:rsidP="004E1F91">
      <w:pPr>
        <w:spacing w:line="276" w:lineRule="auto"/>
        <w:ind w:left="720" w:hanging="720"/>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 xml:space="preserve">Romo, R., Alejo-Reyes, A., &amp; Orozco, F. (2024). Statistical Analysis of Lean Construction Barriers to Optimize Its Implementation Using PLS-SEM and PCA. Buildings, 14(2), 486. </w:t>
      </w:r>
      <w:hyperlink r:id="rId52" w:history="1">
        <w:r w:rsidRPr="007364BD">
          <w:rPr>
            <w:rStyle w:val="Hyperlink"/>
            <w:rFonts w:ascii="Arial" w:eastAsia="Times New Roman" w:hAnsi="Arial"/>
            <w:color w:val="000000" w:themeColor="text1"/>
            <w:sz w:val="20"/>
            <w:szCs w:val="20"/>
          </w:rPr>
          <w:t>https://doi.org/10.3390/buildings14020486</w:t>
        </w:r>
      </w:hyperlink>
      <w:r w:rsidRPr="007364BD">
        <w:rPr>
          <w:rFonts w:ascii="Arial" w:eastAsia="Times New Roman" w:hAnsi="Arial"/>
          <w:color w:val="000000" w:themeColor="text1"/>
          <w:sz w:val="20"/>
          <w:szCs w:val="20"/>
        </w:rPr>
        <w:t xml:space="preserve"> </w:t>
      </w:r>
    </w:p>
    <w:p w14:paraId="33908422" w14:textId="77777777" w:rsidR="00A304B4" w:rsidRPr="007364BD" w:rsidRDefault="00A304B4" w:rsidP="004E1F91">
      <w:pPr>
        <w:spacing w:line="276" w:lineRule="auto"/>
        <w:ind w:left="720" w:hanging="720"/>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 xml:space="preserve">Rosak-Szyrocka, J., &amp; Tiwari, S. (2023). Structural Equation </w:t>
      </w:r>
      <w:proofErr w:type="spellStart"/>
      <w:r w:rsidRPr="007364BD">
        <w:rPr>
          <w:rFonts w:ascii="Arial" w:eastAsia="Times New Roman" w:hAnsi="Arial"/>
          <w:color w:val="000000" w:themeColor="text1"/>
          <w:sz w:val="20"/>
          <w:szCs w:val="20"/>
        </w:rPr>
        <w:t>Modeling</w:t>
      </w:r>
      <w:proofErr w:type="spellEnd"/>
      <w:r w:rsidRPr="007364BD">
        <w:rPr>
          <w:rFonts w:ascii="Arial" w:eastAsia="Times New Roman" w:hAnsi="Arial"/>
          <w:color w:val="000000" w:themeColor="text1"/>
          <w:sz w:val="20"/>
          <w:szCs w:val="20"/>
        </w:rPr>
        <w:t xml:space="preserve"> (SEM) to Test Sustainable Development in University 4.0 in the Ultra-Smart Society Era. Sustainability, 15(23), 16167. </w:t>
      </w:r>
      <w:hyperlink r:id="rId53" w:history="1">
        <w:r w:rsidRPr="007364BD">
          <w:rPr>
            <w:rStyle w:val="Hyperlink"/>
            <w:rFonts w:ascii="Arial" w:eastAsia="Times New Roman" w:hAnsi="Arial"/>
            <w:color w:val="000000" w:themeColor="text1"/>
            <w:sz w:val="20"/>
            <w:szCs w:val="20"/>
          </w:rPr>
          <w:t>https://doi.org/10.3390/su152316167</w:t>
        </w:r>
      </w:hyperlink>
      <w:r w:rsidRPr="007364BD">
        <w:rPr>
          <w:rFonts w:ascii="Arial" w:eastAsia="Times New Roman" w:hAnsi="Arial"/>
          <w:color w:val="000000" w:themeColor="text1"/>
          <w:sz w:val="20"/>
          <w:szCs w:val="20"/>
        </w:rPr>
        <w:t xml:space="preserve"> </w:t>
      </w:r>
    </w:p>
    <w:p w14:paraId="4A29ED29" w14:textId="77777777" w:rsidR="00A304B4" w:rsidRPr="007364BD" w:rsidRDefault="00A304B4" w:rsidP="004E1F91">
      <w:pPr>
        <w:spacing w:line="276" w:lineRule="auto"/>
        <w:ind w:left="720" w:hanging="720"/>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 xml:space="preserve">Sancak, B., &amp; Demirbaş, D. (2024). </w:t>
      </w:r>
      <w:proofErr w:type="spellStart"/>
      <w:r w:rsidRPr="007364BD">
        <w:rPr>
          <w:rFonts w:ascii="Arial" w:eastAsia="Times New Roman" w:hAnsi="Arial"/>
          <w:color w:val="000000" w:themeColor="text1"/>
          <w:sz w:val="20"/>
          <w:szCs w:val="20"/>
        </w:rPr>
        <w:t>Finansal</w:t>
      </w:r>
      <w:proofErr w:type="spellEnd"/>
      <w:r w:rsidRPr="007364BD">
        <w:rPr>
          <w:rFonts w:ascii="Arial" w:eastAsia="Times New Roman" w:hAnsi="Arial"/>
          <w:color w:val="000000" w:themeColor="text1"/>
          <w:sz w:val="20"/>
          <w:szCs w:val="20"/>
        </w:rPr>
        <w:t xml:space="preserve"> </w:t>
      </w:r>
      <w:proofErr w:type="spellStart"/>
      <w:r w:rsidRPr="007364BD">
        <w:rPr>
          <w:rFonts w:ascii="Arial" w:eastAsia="Times New Roman" w:hAnsi="Arial"/>
          <w:color w:val="000000" w:themeColor="text1"/>
          <w:sz w:val="20"/>
          <w:szCs w:val="20"/>
        </w:rPr>
        <w:t>Okuryazarlığın</w:t>
      </w:r>
      <w:proofErr w:type="spellEnd"/>
      <w:r w:rsidRPr="007364BD">
        <w:rPr>
          <w:rFonts w:ascii="Arial" w:eastAsia="Times New Roman" w:hAnsi="Arial"/>
          <w:color w:val="000000" w:themeColor="text1"/>
          <w:sz w:val="20"/>
          <w:szCs w:val="20"/>
        </w:rPr>
        <w:t xml:space="preserve"> </w:t>
      </w:r>
      <w:proofErr w:type="spellStart"/>
      <w:r w:rsidRPr="007364BD">
        <w:rPr>
          <w:rFonts w:ascii="Arial" w:eastAsia="Times New Roman" w:hAnsi="Arial"/>
          <w:color w:val="000000" w:themeColor="text1"/>
          <w:sz w:val="20"/>
          <w:szCs w:val="20"/>
        </w:rPr>
        <w:t>Yatırım</w:t>
      </w:r>
      <w:proofErr w:type="spellEnd"/>
      <w:r w:rsidRPr="007364BD">
        <w:rPr>
          <w:rFonts w:ascii="Arial" w:eastAsia="Times New Roman" w:hAnsi="Arial"/>
          <w:color w:val="000000" w:themeColor="text1"/>
          <w:sz w:val="20"/>
          <w:szCs w:val="20"/>
        </w:rPr>
        <w:t xml:space="preserve"> </w:t>
      </w:r>
      <w:proofErr w:type="spellStart"/>
      <w:r w:rsidRPr="007364BD">
        <w:rPr>
          <w:rFonts w:ascii="Arial" w:eastAsia="Times New Roman" w:hAnsi="Arial"/>
          <w:color w:val="000000" w:themeColor="text1"/>
          <w:sz w:val="20"/>
          <w:szCs w:val="20"/>
        </w:rPr>
        <w:t>Piyasalarına</w:t>
      </w:r>
      <w:proofErr w:type="spellEnd"/>
      <w:r w:rsidRPr="007364BD">
        <w:rPr>
          <w:rFonts w:ascii="Arial" w:eastAsia="Times New Roman" w:hAnsi="Arial"/>
          <w:color w:val="000000" w:themeColor="text1"/>
          <w:sz w:val="20"/>
          <w:szCs w:val="20"/>
        </w:rPr>
        <w:t xml:space="preserve"> </w:t>
      </w:r>
      <w:proofErr w:type="spellStart"/>
      <w:r w:rsidRPr="007364BD">
        <w:rPr>
          <w:rFonts w:ascii="Arial" w:eastAsia="Times New Roman" w:hAnsi="Arial"/>
          <w:color w:val="000000" w:themeColor="text1"/>
          <w:sz w:val="20"/>
          <w:szCs w:val="20"/>
        </w:rPr>
        <w:t>Katılım</w:t>
      </w:r>
      <w:proofErr w:type="spellEnd"/>
      <w:r w:rsidRPr="007364BD">
        <w:rPr>
          <w:rFonts w:ascii="Arial" w:eastAsia="Times New Roman" w:hAnsi="Arial"/>
          <w:color w:val="000000" w:themeColor="text1"/>
          <w:sz w:val="20"/>
          <w:szCs w:val="20"/>
        </w:rPr>
        <w:t xml:space="preserve"> Üzerindeki </w:t>
      </w:r>
      <w:proofErr w:type="spellStart"/>
      <w:r w:rsidRPr="007364BD">
        <w:rPr>
          <w:rFonts w:ascii="Arial" w:eastAsia="Times New Roman" w:hAnsi="Arial"/>
          <w:color w:val="000000" w:themeColor="text1"/>
          <w:sz w:val="20"/>
          <w:szCs w:val="20"/>
        </w:rPr>
        <w:t>Etkisi</w:t>
      </w:r>
      <w:proofErr w:type="spellEnd"/>
      <w:r w:rsidRPr="007364BD">
        <w:rPr>
          <w:rFonts w:ascii="Arial" w:eastAsia="Times New Roman" w:hAnsi="Arial"/>
          <w:color w:val="000000" w:themeColor="text1"/>
          <w:sz w:val="20"/>
          <w:szCs w:val="20"/>
        </w:rPr>
        <w:t xml:space="preserve">: </w:t>
      </w:r>
      <w:proofErr w:type="spellStart"/>
      <w:r w:rsidRPr="007364BD">
        <w:rPr>
          <w:rFonts w:ascii="Arial" w:eastAsia="Times New Roman" w:hAnsi="Arial"/>
          <w:color w:val="000000" w:themeColor="text1"/>
          <w:sz w:val="20"/>
          <w:szCs w:val="20"/>
        </w:rPr>
        <w:t>Üniversite</w:t>
      </w:r>
      <w:proofErr w:type="spellEnd"/>
      <w:r w:rsidRPr="007364BD">
        <w:rPr>
          <w:rFonts w:ascii="Arial" w:eastAsia="Times New Roman" w:hAnsi="Arial"/>
          <w:color w:val="000000" w:themeColor="text1"/>
          <w:sz w:val="20"/>
          <w:szCs w:val="20"/>
        </w:rPr>
        <w:t xml:space="preserve"> </w:t>
      </w:r>
      <w:proofErr w:type="spellStart"/>
      <w:r w:rsidRPr="007364BD">
        <w:rPr>
          <w:rFonts w:ascii="Arial" w:eastAsia="Times New Roman" w:hAnsi="Arial"/>
          <w:color w:val="000000" w:themeColor="text1"/>
          <w:sz w:val="20"/>
          <w:szCs w:val="20"/>
        </w:rPr>
        <w:t>Öğrencileri</w:t>
      </w:r>
      <w:proofErr w:type="spellEnd"/>
      <w:r w:rsidRPr="007364BD">
        <w:rPr>
          <w:rFonts w:ascii="Arial" w:eastAsia="Times New Roman" w:hAnsi="Arial"/>
          <w:color w:val="000000" w:themeColor="text1"/>
          <w:sz w:val="20"/>
          <w:szCs w:val="20"/>
        </w:rPr>
        <w:t xml:space="preserve"> </w:t>
      </w:r>
      <w:proofErr w:type="spellStart"/>
      <w:r w:rsidRPr="007364BD">
        <w:rPr>
          <w:rFonts w:ascii="Arial" w:eastAsia="Times New Roman" w:hAnsi="Arial"/>
          <w:color w:val="000000" w:themeColor="text1"/>
          <w:sz w:val="20"/>
          <w:szCs w:val="20"/>
        </w:rPr>
        <w:t>Üzerine</w:t>
      </w:r>
      <w:proofErr w:type="spellEnd"/>
      <w:r w:rsidRPr="007364BD">
        <w:rPr>
          <w:rFonts w:ascii="Arial" w:eastAsia="Times New Roman" w:hAnsi="Arial"/>
          <w:color w:val="000000" w:themeColor="text1"/>
          <w:sz w:val="20"/>
          <w:szCs w:val="20"/>
        </w:rPr>
        <w:t xml:space="preserve"> Bir </w:t>
      </w:r>
      <w:proofErr w:type="spellStart"/>
      <w:r w:rsidRPr="007364BD">
        <w:rPr>
          <w:rFonts w:ascii="Arial" w:eastAsia="Times New Roman" w:hAnsi="Arial"/>
          <w:color w:val="000000" w:themeColor="text1"/>
          <w:sz w:val="20"/>
          <w:szCs w:val="20"/>
        </w:rPr>
        <w:t>İnceleme</w:t>
      </w:r>
      <w:proofErr w:type="spellEnd"/>
      <w:r w:rsidRPr="007364BD">
        <w:rPr>
          <w:rFonts w:ascii="Arial" w:eastAsia="Times New Roman" w:hAnsi="Arial"/>
          <w:color w:val="000000" w:themeColor="text1"/>
          <w:sz w:val="20"/>
          <w:szCs w:val="20"/>
        </w:rPr>
        <w:t xml:space="preserve">. Journal of Economic Policy Researches / </w:t>
      </w:r>
      <w:proofErr w:type="spellStart"/>
      <w:r w:rsidRPr="007364BD">
        <w:rPr>
          <w:rFonts w:ascii="Arial" w:eastAsia="Times New Roman" w:hAnsi="Arial"/>
          <w:color w:val="000000" w:themeColor="text1"/>
          <w:sz w:val="20"/>
          <w:szCs w:val="20"/>
        </w:rPr>
        <w:t>İktisat</w:t>
      </w:r>
      <w:proofErr w:type="spellEnd"/>
      <w:r w:rsidRPr="007364BD">
        <w:rPr>
          <w:rFonts w:ascii="Arial" w:eastAsia="Times New Roman" w:hAnsi="Arial"/>
          <w:color w:val="000000" w:themeColor="text1"/>
          <w:sz w:val="20"/>
          <w:szCs w:val="20"/>
        </w:rPr>
        <w:t xml:space="preserve"> </w:t>
      </w:r>
      <w:proofErr w:type="spellStart"/>
      <w:r w:rsidRPr="007364BD">
        <w:rPr>
          <w:rFonts w:ascii="Arial" w:eastAsia="Times New Roman" w:hAnsi="Arial"/>
          <w:color w:val="000000" w:themeColor="text1"/>
          <w:sz w:val="20"/>
          <w:szCs w:val="20"/>
        </w:rPr>
        <w:t>Politikası</w:t>
      </w:r>
      <w:proofErr w:type="spellEnd"/>
      <w:r w:rsidRPr="007364BD">
        <w:rPr>
          <w:rFonts w:ascii="Arial" w:eastAsia="Times New Roman" w:hAnsi="Arial"/>
          <w:color w:val="000000" w:themeColor="text1"/>
          <w:sz w:val="20"/>
          <w:szCs w:val="20"/>
        </w:rPr>
        <w:t xml:space="preserve"> </w:t>
      </w:r>
      <w:proofErr w:type="spellStart"/>
      <w:r w:rsidRPr="007364BD">
        <w:rPr>
          <w:rFonts w:ascii="Arial" w:eastAsia="Times New Roman" w:hAnsi="Arial"/>
          <w:color w:val="000000" w:themeColor="text1"/>
          <w:sz w:val="20"/>
          <w:szCs w:val="20"/>
        </w:rPr>
        <w:t>Araştırmaları</w:t>
      </w:r>
      <w:proofErr w:type="spellEnd"/>
      <w:r w:rsidRPr="007364BD">
        <w:rPr>
          <w:rFonts w:ascii="Arial" w:eastAsia="Times New Roman" w:hAnsi="Arial"/>
          <w:color w:val="000000" w:themeColor="text1"/>
          <w:sz w:val="20"/>
          <w:szCs w:val="20"/>
        </w:rPr>
        <w:t xml:space="preserve"> </w:t>
      </w:r>
      <w:proofErr w:type="spellStart"/>
      <w:r w:rsidRPr="007364BD">
        <w:rPr>
          <w:rFonts w:ascii="Arial" w:eastAsia="Times New Roman" w:hAnsi="Arial"/>
          <w:color w:val="000000" w:themeColor="text1"/>
          <w:sz w:val="20"/>
          <w:szCs w:val="20"/>
        </w:rPr>
        <w:t>Dergisi</w:t>
      </w:r>
      <w:proofErr w:type="spellEnd"/>
      <w:r w:rsidRPr="007364BD">
        <w:rPr>
          <w:rFonts w:ascii="Arial" w:eastAsia="Times New Roman" w:hAnsi="Arial"/>
          <w:color w:val="000000" w:themeColor="text1"/>
          <w:sz w:val="20"/>
          <w:szCs w:val="20"/>
        </w:rPr>
        <w:t xml:space="preserve">, 11(2), 204–225. </w:t>
      </w:r>
      <w:hyperlink r:id="rId54">
        <w:r w:rsidRPr="007364BD">
          <w:rPr>
            <w:rFonts w:ascii="Arial" w:eastAsia="Times New Roman" w:hAnsi="Arial"/>
            <w:color w:val="000000" w:themeColor="text1"/>
            <w:sz w:val="20"/>
            <w:szCs w:val="20"/>
            <w:u w:val="single"/>
          </w:rPr>
          <w:t>https://doi.org/10.26650/jepr1406361</w:t>
        </w:r>
      </w:hyperlink>
      <w:r w:rsidRPr="007364BD">
        <w:rPr>
          <w:rFonts w:ascii="Arial" w:eastAsia="Times New Roman" w:hAnsi="Arial"/>
          <w:color w:val="000000" w:themeColor="text1"/>
          <w:sz w:val="20"/>
          <w:szCs w:val="20"/>
        </w:rPr>
        <w:t xml:space="preserve"> </w:t>
      </w:r>
    </w:p>
    <w:p w14:paraId="457C0B72" w14:textId="77777777" w:rsidR="00A304B4" w:rsidRPr="007364BD" w:rsidRDefault="00A304B4" w:rsidP="004E1F91">
      <w:pPr>
        <w:spacing w:line="276" w:lineRule="auto"/>
        <w:ind w:left="720" w:hanging="720"/>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 xml:space="preserve">Tang, K., Yuan, J., &amp; Luo, L. (2024). Validity evaluation of the Health Information Preferences Questionnaire among college students. Frontiers in Public Health, 12. </w:t>
      </w:r>
      <w:hyperlink r:id="rId55" w:history="1">
        <w:r w:rsidRPr="007364BD">
          <w:rPr>
            <w:rStyle w:val="Hyperlink"/>
            <w:rFonts w:ascii="Arial" w:eastAsia="Times New Roman" w:hAnsi="Arial"/>
            <w:color w:val="000000" w:themeColor="text1"/>
            <w:sz w:val="20"/>
            <w:szCs w:val="20"/>
          </w:rPr>
          <w:t>https://doi.org/10.3389/fpubh.2024.1249621</w:t>
        </w:r>
      </w:hyperlink>
      <w:r w:rsidRPr="007364BD">
        <w:rPr>
          <w:rFonts w:ascii="Arial" w:eastAsia="Times New Roman" w:hAnsi="Arial"/>
          <w:color w:val="000000" w:themeColor="text1"/>
          <w:sz w:val="20"/>
          <w:szCs w:val="20"/>
        </w:rPr>
        <w:t xml:space="preserve"> </w:t>
      </w:r>
    </w:p>
    <w:p w14:paraId="42CFEE2E" w14:textId="77777777" w:rsidR="00A304B4" w:rsidRPr="007364BD" w:rsidRDefault="00A304B4" w:rsidP="004E1F91">
      <w:pPr>
        <w:spacing w:line="276" w:lineRule="auto"/>
        <w:ind w:left="720" w:hanging="720"/>
        <w:rPr>
          <w:rFonts w:ascii="Arial" w:eastAsia="Times New Roman" w:hAnsi="Arial"/>
          <w:color w:val="000000" w:themeColor="text1"/>
          <w:sz w:val="20"/>
          <w:szCs w:val="20"/>
        </w:rPr>
      </w:pPr>
      <w:proofErr w:type="spellStart"/>
      <w:r w:rsidRPr="007364BD">
        <w:rPr>
          <w:rFonts w:ascii="Arial" w:eastAsia="Times New Roman" w:hAnsi="Arial"/>
          <w:color w:val="000000" w:themeColor="text1"/>
          <w:sz w:val="20"/>
          <w:szCs w:val="20"/>
          <w:lang w:val="en-ZW"/>
        </w:rPr>
        <w:t>Upstox</w:t>
      </w:r>
      <w:proofErr w:type="spellEnd"/>
      <w:r w:rsidRPr="007364BD">
        <w:rPr>
          <w:rFonts w:ascii="Arial" w:eastAsia="Times New Roman" w:hAnsi="Arial"/>
          <w:color w:val="000000" w:themeColor="text1"/>
          <w:sz w:val="20"/>
          <w:szCs w:val="20"/>
          <w:lang w:val="en-ZW"/>
        </w:rPr>
        <w:t xml:space="preserve">. (2026). </w:t>
      </w:r>
      <w:r w:rsidRPr="007364BD">
        <w:rPr>
          <w:rFonts w:ascii="Arial" w:eastAsia="Times New Roman" w:hAnsi="Arial"/>
          <w:i/>
          <w:iCs/>
          <w:color w:val="000000" w:themeColor="text1"/>
          <w:sz w:val="20"/>
          <w:szCs w:val="20"/>
          <w:lang w:val="en-ZW"/>
        </w:rPr>
        <w:t xml:space="preserve">Learning </w:t>
      </w:r>
      <w:proofErr w:type="spellStart"/>
      <w:r w:rsidRPr="007364BD">
        <w:rPr>
          <w:rFonts w:ascii="Arial" w:eastAsia="Times New Roman" w:hAnsi="Arial"/>
          <w:i/>
          <w:iCs/>
          <w:color w:val="000000" w:themeColor="text1"/>
          <w:sz w:val="20"/>
          <w:szCs w:val="20"/>
          <w:lang w:val="en-ZW"/>
        </w:rPr>
        <w:t>center</w:t>
      </w:r>
      <w:proofErr w:type="spellEnd"/>
      <w:r w:rsidRPr="007364BD">
        <w:rPr>
          <w:rFonts w:ascii="Arial" w:eastAsia="Times New Roman" w:hAnsi="Arial"/>
          <w:color w:val="000000" w:themeColor="text1"/>
          <w:sz w:val="20"/>
          <w:szCs w:val="20"/>
          <w:lang w:val="en-ZW"/>
        </w:rPr>
        <w:t>. Retrieved April 14, 2026, from</w:t>
      </w:r>
      <w:hyperlink r:id="rId56" w:history="1">
        <w:r w:rsidRPr="007364BD">
          <w:rPr>
            <w:rStyle w:val="Hyperlink"/>
            <w:rFonts w:ascii="Arial" w:eastAsia="Times New Roman" w:hAnsi="Arial"/>
            <w:color w:val="000000" w:themeColor="text1"/>
            <w:sz w:val="20"/>
            <w:szCs w:val="20"/>
            <w:lang w:val="en-ZW"/>
          </w:rPr>
          <w:t xml:space="preserve"> https://upstox.com/learning-center/</w:t>
        </w:r>
      </w:hyperlink>
    </w:p>
    <w:p w14:paraId="3DF1256A" w14:textId="77777777" w:rsidR="00A304B4" w:rsidRPr="007364BD" w:rsidRDefault="00A304B4" w:rsidP="004E1F91">
      <w:pPr>
        <w:spacing w:line="276" w:lineRule="auto"/>
        <w:ind w:left="720" w:hanging="720"/>
        <w:rPr>
          <w:rFonts w:ascii="Arial" w:eastAsia="Times New Roman" w:hAnsi="Arial"/>
          <w:color w:val="000000" w:themeColor="text1"/>
          <w:sz w:val="20"/>
          <w:szCs w:val="20"/>
        </w:rPr>
      </w:pPr>
      <w:r w:rsidRPr="007364BD">
        <w:rPr>
          <w:rFonts w:ascii="Arial" w:eastAsia="Times New Roman" w:hAnsi="Arial"/>
          <w:color w:val="000000" w:themeColor="text1"/>
          <w:sz w:val="20"/>
          <w:szCs w:val="20"/>
        </w:rPr>
        <w:lastRenderedPageBreak/>
        <w:t xml:space="preserve">Yang, Y., Xu, S., Chen, S., Tian, J., &amp; Chen, B. (2025). Development and validation of a questionnaire for laboratory medicine knowledge and attitudes in clinical medical interns. Frontiers in Medicine, 12. </w:t>
      </w:r>
      <w:hyperlink r:id="rId57" w:history="1">
        <w:r w:rsidRPr="007364BD">
          <w:rPr>
            <w:rStyle w:val="Hyperlink"/>
            <w:rFonts w:ascii="Arial" w:eastAsia="Times New Roman" w:hAnsi="Arial"/>
            <w:color w:val="000000" w:themeColor="text1"/>
            <w:sz w:val="20"/>
            <w:szCs w:val="20"/>
          </w:rPr>
          <w:t>https://doi.org/10.3389/fmed.2025.1726666</w:t>
        </w:r>
      </w:hyperlink>
      <w:r w:rsidRPr="007364BD">
        <w:rPr>
          <w:rFonts w:ascii="Arial" w:eastAsia="Times New Roman" w:hAnsi="Arial"/>
          <w:color w:val="000000" w:themeColor="text1"/>
          <w:sz w:val="20"/>
          <w:szCs w:val="20"/>
        </w:rPr>
        <w:t xml:space="preserve"> </w:t>
      </w:r>
    </w:p>
    <w:p w14:paraId="67353104" w14:textId="77777777" w:rsidR="00A304B4" w:rsidRPr="007364BD" w:rsidRDefault="00A304B4" w:rsidP="004E1F91">
      <w:pPr>
        <w:spacing w:line="276" w:lineRule="auto"/>
        <w:ind w:left="720" w:hanging="720"/>
        <w:rPr>
          <w:rFonts w:ascii="Arial" w:eastAsia="Times New Roman" w:hAnsi="Arial"/>
          <w:color w:val="000000" w:themeColor="text1"/>
          <w:sz w:val="20"/>
          <w:szCs w:val="20"/>
        </w:rPr>
      </w:pPr>
      <w:proofErr w:type="spellStart"/>
      <w:r w:rsidRPr="007364BD">
        <w:rPr>
          <w:rFonts w:ascii="Arial" w:eastAsia="Times New Roman" w:hAnsi="Arial"/>
          <w:color w:val="000000" w:themeColor="text1"/>
          <w:sz w:val="20"/>
          <w:szCs w:val="20"/>
        </w:rPr>
        <w:t>Yanuarti</w:t>
      </w:r>
      <w:proofErr w:type="spellEnd"/>
      <w:r w:rsidRPr="007364BD">
        <w:rPr>
          <w:rFonts w:ascii="Arial" w:eastAsia="Times New Roman" w:hAnsi="Arial"/>
          <w:color w:val="000000" w:themeColor="text1"/>
          <w:sz w:val="20"/>
          <w:szCs w:val="20"/>
        </w:rPr>
        <w:t xml:space="preserve"> Loebiantoro, I., Hooi Cheng, E., &amp; Annuar, N. (2024). Smart investing: Unveiling key drivers of strategic investment for investors in the Indonesia Stock Exchange. Investment Management and Financial Innovations, 21(4), 156–169. </w:t>
      </w:r>
      <w:hyperlink r:id="rId58">
        <w:r w:rsidRPr="007364BD">
          <w:rPr>
            <w:rFonts w:ascii="Arial" w:eastAsia="Times New Roman" w:hAnsi="Arial"/>
            <w:color w:val="000000" w:themeColor="text1"/>
            <w:sz w:val="20"/>
            <w:szCs w:val="20"/>
            <w:u w:val="single"/>
          </w:rPr>
          <w:t>https://doi.org/10.21511/imfi.21(4).2024.13</w:t>
        </w:r>
      </w:hyperlink>
      <w:r w:rsidRPr="007364BD">
        <w:rPr>
          <w:rFonts w:ascii="Arial" w:eastAsia="Times New Roman" w:hAnsi="Arial"/>
          <w:color w:val="000000" w:themeColor="text1"/>
          <w:sz w:val="20"/>
          <w:szCs w:val="20"/>
        </w:rPr>
        <w:t xml:space="preserve"> </w:t>
      </w:r>
    </w:p>
    <w:p w14:paraId="7EA65AAA" w14:textId="77777777" w:rsidR="00A304B4" w:rsidRPr="007364BD" w:rsidRDefault="00A304B4" w:rsidP="004E1F91">
      <w:pPr>
        <w:spacing w:line="276" w:lineRule="auto"/>
        <w:ind w:left="720" w:hanging="720"/>
        <w:rPr>
          <w:rFonts w:ascii="Arial" w:eastAsia="Times New Roman" w:hAnsi="Arial"/>
          <w:color w:val="000000" w:themeColor="text1"/>
          <w:sz w:val="20"/>
          <w:szCs w:val="20"/>
        </w:rPr>
      </w:pPr>
      <w:r w:rsidRPr="007364BD">
        <w:rPr>
          <w:rFonts w:ascii="Arial" w:eastAsia="Times New Roman" w:hAnsi="Arial"/>
          <w:color w:val="000000" w:themeColor="text1"/>
          <w:sz w:val="20"/>
          <w:szCs w:val="20"/>
        </w:rPr>
        <w:t xml:space="preserve">Ye, Y., Pu, Y., &amp; Xiong, A. (2022). The impact of digital finance on household participation in risky financial markets: Evidence-based study from China. PLOS ONE, 17(4), e0265606. </w:t>
      </w:r>
      <w:hyperlink r:id="rId59" w:history="1">
        <w:r w:rsidRPr="007364BD">
          <w:rPr>
            <w:rStyle w:val="Hyperlink"/>
            <w:rFonts w:ascii="Arial" w:eastAsia="Times New Roman" w:hAnsi="Arial"/>
            <w:color w:val="000000" w:themeColor="text1"/>
            <w:sz w:val="20"/>
            <w:szCs w:val="20"/>
          </w:rPr>
          <w:t>https://doi.org/10.1371/journal.pone.0265606</w:t>
        </w:r>
      </w:hyperlink>
      <w:r w:rsidRPr="007364BD">
        <w:rPr>
          <w:rFonts w:ascii="Arial" w:eastAsia="Times New Roman" w:hAnsi="Arial"/>
          <w:color w:val="000000" w:themeColor="text1"/>
          <w:sz w:val="20"/>
          <w:szCs w:val="20"/>
        </w:rPr>
        <w:t xml:space="preserve"> </w:t>
      </w:r>
    </w:p>
    <w:p w14:paraId="4EF12165" w14:textId="77777777" w:rsidR="00A304B4" w:rsidRPr="007364BD" w:rsidRDefault="00A304B4" w:rsidP="004E1F91">
      <w:pPr>
        <w:spacing w:line="276" w:lineRule="auto"/>
        <w:ind w:left="720" w:hanging="720"/>
        <w:rPr>
          <w:rFonts w:ascii="Arial" w:eastAsia="Times New Roman" w:hAnsi="Arial"/>
          <w:color w:val="000000" w:themeColor="text1"/>
          <w:sz w:val="20"/>
          <w:szCs w:val="20"/>
          <w:lang w:val="en-ZW"/>
        </w:rPr>
      </w:pPr>
      <w:proofErr w:type="spellStart"/>
      <w:r w:rsidRPr="007364BD">
        <w:rPr>
          <w:rFonts w:ascii="Arial" w:eastAsia="Times New Roman" w:hAnsi="Arial"/>
          <w:color w:val="000000" w:themeColor="text1"/>
          <w:sz w:val="20"/>
          <w:szCs w:val="20"/>
          <w:lang w:val="en-ZW"/>
        </w:rPr>
        <w:t>Zerodha</w:t>
      </w:r>
      <w:proofErr w:type="spellEnd"/>
      <w:r w:rsidRPr="007364BD">
        <w:rPr>
          <w:rFonts w:ascii="Arial" w:eastAsia="Times New Roman" w:hAnsi="Arial"/>
          <w:color w:val="000000" w:themeColor="text1"/>
          <w:sz w:val="20"/>
          <w:szCs w:val="20"/>
          <w:lang w:val="en-ZW"/>
        </w:rPr>
        <w:t xml:space="preserve">. (2026a). </w:t>
      </w:r>
      <w:r w:rsidRPr="007364BD">
        <w:rPr>
          <w:rFonts w:ascii="Arial" w:eastAsia="Times New Roman" w:hAnsi="Arial"/>
          <w:i/>
          <w:iCs/>
          <w:color w:val="000000" w:themeColor="text1"/>
          <w:sz w:val="20"/>
          <w:szCs w:val="20"/>
          <w:lang w:val="en-ZW"/>
        </w:rPr>
        <w:t>Varsity: Free stock market and financial education</w:t>
      </w:r>
      <w:r w:rsidRPr="007364BD">
        <w:rPr>
          <w:rFonts w:ascii="Arial" w:eastAsia="Times New Roman" w:hAnsi="Arial"/>
          <w:color w:val="000000" w:themeColor="text1"/>
          <w:sz w:val="20"/>
          <w:szCs w:val="20"/>
          <w:lang w:val="en-ZW"/>
        </w:rPr>
        <w:t>. Retrieved April 14, 2026, from</w:t>
      </w:r>
      <w:hyperlink r:id="rId60" w:history="1">
        <w:r w:rsidRPr="007364BD">
          <w:rPr>
            <w:rStyle w:val="Hyperlink"/>
            <w:rFonts w:ascii="Arial" w:eastAsia="Times New Roman" w:hAnsi="Arial"/>
            <w:color w:val="000000" w:themeColor="text1"/>
            <w:sz w:val="20"/>
            <w:szCs w:val="20"/>
            <w:lang w:val="en-ZW"/>
          </w:rPr>
          <w:t xml:space="preserve"> https://zerodha.com/varsity/</w:t>
        </w:r>
      </w:hyperlink>
      <w:r w:rsidRPr="007364BD">
        <w:rPr>
          <w:rFonts w:ascii="Arial" w:eastAsia="Times New Roman" w:hAnsi="Arial"/>
          <w:color w:val="000000" w:themeColor="text1"/>
          <w:sz w:val="20"/>
          <w:szCs w:val="20"/>
          <w:lang w:val="en-ZW"/>
        </w:rPr>
        <w:t> </w:t>
      </w:r>
    </w:p>
    <w:p w14:paraId="139B006D" w14:textId="77777777" w:rsidR="00A304B4" w:rsidRPr="007364BD" w:rsidRDefault="00A304B4" w:rsidP="004E1F91">
      <w:pPr>
        <w:spacing w:line="276" w:lineRule="auto"/>
        <w:ind w:left="720" w:hanging="720"/>
        <w:rPr>
          <w:rFonts w:ascii="Arial" w:eastAsia="Times New Roman" w:hAnsi="Arial"/>
          <w:color w:val="000000" w:themeColor="text1"/>
          <w:sz w:val="20"/>
          <w:szCs w:val="20"/>
          <w:lang w:val="en-ZW"/>
        </w:rPr>
      </w:pPr>
      <w:proofErr w:type="spellStart"/>
      <w:r w:rsidRPr="007364BD">
        <w:rPr>
          <w:rFonts w:ascii="Arial" w:eastAsia="Times New Roman" w:hAnsi="Arial"/>
          <w:color w:val="000000" w:themeColor="text1"/>
          <w:sz w:val="20"/>
          <w:szCs w:val="20"/>
          <w:lang w:val="en-ZW"/>
        </w:rPr>
        <w:t>Zerodha</w:t>
      </w:r>
      <w:proofErr w:type="spellEnd"/>
      <w:r w:rsidRPr="007364BD">
        <w:rPr>
          <w:rFonts w:ascii="Arial" w:eastAsia="Times New Roman" w:hAnsi="Arial"/>
          <w:color w:val="000000" w:themeColor="text1"/>
          <w:sz w:val="20"/>
          <w:szCs w:val="20"/>
          <w:lang w:val="en-ZW"/>
        </w:rPr>
        <w:t xml:space="preserve">. (2026b). </w:t>
      </w:r>
      <w:r w:rsidRPr="007364BD">
        <w:rPr>
          <w:rFonts w:ascii="Arial" w:eastAsia="Times New Roman" w:hAnsi="Arial"/>
          <w:i/>
          <w:iCs/>
          <w:color w:val="000000" w:themeColor="text1"/>
          <w:sz w:val="20"/>
          <w:szCs w:val="20"/>
          <w:lang w:val="en-ZW"/>
        </w:rPr>
        <w:t>Varsity modules: Stock market and financial education</w:t>
      </w:r>
      <w:r w:rsidRPr="007364BD">
        <w:rPr>
          <w:rFonts w:ascii="Arial" w:eastAsia="Times New Roman" w:hAnsi="Arial"/>
          <w:color w:val="000000" w:themeColor="text1"/>
          <w:sz w:val="20"/>
          <w:szCs w:val="20"/>
          <w:lang w:val="en-ZW"/>
        </w:rPr>
        <w:t>. Retrieved April 14, 2026, from</w:t>
      </w:r>
      <w:hyperlink r:id="rId61" w:history="1">
        <w:r w:rsidRPr="007364BD">
          <w:rPr>
            <w:rStyle w:val="Hyperlink"/>
            <w:rFonts w:ascii="Arial" w:eastAsia="Times New Roman" w:hAnsi="Arial"/>
            <w:color w:val="000000" w:themeColor="text1"/>
            <w:sz w:val="20"/>
            <w:szCs w:val="20"/>
            <w:lang w:val="en-ZW"/>
          </w:rPr>
          <w:t xml:space="preserve"> https://zerodha.com/varsity/modules/</w:t>
        </w:r>
      </w:hyperlink>
      <w:r w:rsidRPr="007364BD">
        <w:rPr>
          <w:rFonts w:ascii="Arial" w:eastAsia="Times New Roman" w:hAnsi="Arial"/>
          <w:color w:val="000000" w:themeColor="text1"/>
          <w:sz w:val="20"/>
          <w:szCs w:val="20"/>
          <w:lang w:val="en-ZW"/>
        </w:rPr>
        <w:t> </w:t>
      </w:r>
    </w:p>
    <w:p w14:paraId="3C6C1C2E" w14:textId="77777777" w:rsidR="00A304B4" w:rsidRPr="007364BD" w:rsidRDefault="00A304B4" w:rsidP="004E1F91">
      <w:pPr>
        <w:spacing w:line="276" w:lineRule="auto"/>
        <w:ind w:left="720" w:hanging="720"/>
        <w:rPr>
          <w:rFonts w:ascii="Arial" w:eastAsia="Times New Roman" w:hAnsi="Arial"/>
          <w:color w:val="000000" w:themeColor="text1"/>
          <w:sz w:val="20"/>
          <w:szCs w:val="20"/>
          <w:lang w:val="en-ZW"/>
        </w:rPr>
      </w:pPr>
      <w:proofErr w:type="spellStart"/>
      <w:r w:rsidRPr="007364BD">
        <w:rPr>
          <w:rFonts w:ascii="Arial" w:eastAsia="Times New Roman" w:hAnsi="Arial"/>
          <w:color w:val="000000" w:themeColor="text1"/>
          <w:sz w:val="20"/>
          <w:szCs w:val="20"/>
          <w:lang w:val="en-ZW"/>
        </w:rPr>
        <w:t>Zerodha</w:t>
      </w:r>
      <w:proofErr w:type="spellEnd"/>
      <w:r w:rsidRPr="007364BD">
        <w:rPr>
          <w:rFonts w:ascii="Arial" w:eastAsia="Times New Roman" w:hAnsi="Arial"/>
          <w:color w:val="000000" w:themeColor="text1"/>
          <w:sz w:val="20"/>
          <w:szCs w:val="20"/>
          <w:lang w:val="en-ZW"/>
        </w:rPr>
        <w:t xml:space="preserve">. (2026c). </w:t>
      </w:r>
      <w:r w:rsidRPr="007364BD">
        <w:rPr>
          <w:rFonts w:ascii="Arial" w:eastAsia="Times New Roman" w:hAnsi="Arial"/>
          <w:i/>
          <w:iCs/>
          <w:color w:val="000000" w:themeColor="text1"/>
          <w:sz w:val="20"/>
          <w:szCs w:val="20"/>
          <w:lang w:val="en-ZW"/>
        </w:rPr>
        <w:t>Getting started</w:t>
      </w:r>
      <w:r w:rsidRPr="007364BD">
        <w:rPr>
          <w:rFonts w:ascii="Arial" w:eastAsia="Times New Roman" w:hAnsi="Arial"/>
          <w:color w:val="000000" w:themeColor="text1"/>
          <w:sz w:val="20"/>
          <w:szCs w:val="20"/>
          <w:lang w:val="en-ZW"/>
        </w:rPr>
        <w:t>. Varsity. Retrieved April 14, 2026, from</w:t>
      </w:r>
      <w:hyperlink r:id="rId62" w:history="1">
        <w:r w:rsidRPr="007364BD">
          <w:rPr>
            <w:rStyle w:val="Hyperlink"/>
            <w:rFonts w:ascii="Arial" w:eastAsia="Times New Roman" w:hAnsi="Arial"/>
            <w:color w:val="000000" w:themeColor="text1"/>
            <w:sz w:val="20"/>
            <w:szCs w:val="20"/>
            <w:lang w:val="en-ZW"/>
          </w:rPr>
          <w:t xml:space="preserve"> https://zerodha.com/varsity/chapter/getting-started/</w:t>
        </w:r>
      </w:hyperlink>
      <w:r w:rsidRPr="007364BD">
        <w:rPr>
          <w:rFonts w:ascii="Arial" w:eastAsia="Times New Roman" w:hAnsi="Arial"/>
          <w:color w:val="000000" w:themeColor="text1"/>
          <w:sz w:val="20"/>
          <w:szCs w:val="20"/>
          <w:lang w:val="en-ZW"/>
        </w:rPr>
        <w:t> </w:t>
      </w:r>
    </w:p>
    <w:sectPr w:rsidR="00A304B4" w:rsidRPr="007364BD" w:rsidSect="003B438C">
      <w:type w:val="continuous"/>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pgNumType w:start="1"/>
      <w:cols w:num="2"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23736" w14:textId="77777777" w:rsidR="000C1176" w:rsidRDefault="000C1176" w:rsidP="00A253EC">
      <w:pPr>
        <w:spacing w:line="240" w:lineRule="auto"/>
      </w:pPr>
      <w:r>
        <w:separator/>
      </w:r>
    </w:p>
  </w:endnote>
  <w:endnote w:type="continuationSeparator" w:id="0">
    <w:p w14:paraId="3943F101" w14:textId="77777777" w:rsidR="000C1176" w:rsidRDefault="000C1176" w:rsidP="00A253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95A87432-0404-4046-95D4-31B65067F0B7}"/>
  </w:font>
  <w:font w:name="Cambria">
    <w:panose1 w:val="02040503050406030204"/>
    <w:charset w:val="00"/>
    <w:family w:val="roman"/>
    <w:pitch w:val="variable"/>
    <w:sig w:usb0="E00006FF" w:usb1="420024FF" w:usb2="02000000" w:usb3="00000000" w:csb0="0000019F" w:csb1="00000000"/>
    <w:embedRegular r:id="rId2" w:fontKey="{0516EFFC-742F-40C2-AC45-06A668C15D7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3551142"/>
      <w:docPartObj>
        <w:docPartGallery w:val="Page Numbers (Bottom of Page)"/>
        <w:docPartUnique/>
      </w:docPartObj>
    </w:sdtPr>
    <w:sdtEndPr>
      <w:rPr>
        <w:noProof/>
      </w:rPr>
    </w:sdtEndPr>
    <w:sdtContent>
      <w:p w14:paraId="08C2B6AA" w14:textId="2759D904" w:rsidR="000754CF" w:rsidRDefault="000754C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4F028E9" w14:textId="77777777" w:rsidR="000754CF" w:rsidRDefault="000754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38496" w14:textId="77777777" w:rsidR="000C1176" w:rsidRDefault="000C1176" w:rsidP="00A253EC">
      <w:pPr>
        <w:spacing w:line="240" w:lineRule="auto"/>
      </w:pPr>
      <w:r>
        <w:separator/>
      </w:r>
    </w:p>
  </w:footnote>
  <w:footnote w:type="continuationSeparator" w:id="0">
    <w:p w14:paraId="27CE9641" w14:textId="77777777" w:rsidR="000C1176" w:rsidRDefault="000C1176" w:rsidP="00A253E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76878"/>
    <w:multiLevelType w:val="hybridMultilevel"/>
    <w:tmpl w:val="0F163B42"/>
    <w:lvl w:ilvl="0" w:tplc="30090001">
      <w:start w:val="1"/>
      <w:numFmt w:val="bullet"/>
      <w:lvlText w:val=""/>
      <w:lvlJc w:val="left"/>
      <w:pPr>
        <w:ind w:left="720" w:hanging="360"/>
      </w:pPr>
      <w:rPr>
        <w:rFonts w:ascii="Symbol" w:hAnsi="Symbol"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1" w15:restartNumberingAfterBreak="0">
    <w:nsid w:val="2B1274CD"/>
    <w:multiLevelType w:val="hybridMultilevel"/>
    <w:tmpl w:val="00000000"/>
    <w:lvl w:ilvl="0" w:tplc="67BC1704">
      <w:start w:val="1"/>
      <w:numFmt w:val="bullet"/>
      <w:lvlText w:val="●"/>
      <w:lvlJc w:val="left"/>
      <w:pPr>
        <w:ind w:left="720" w:hanging="360"/>
      </w:pPr>
      <w:rPr>
        <w:u w:val="none"/>
      </w:rPr>
    </w:lvl>
    <w:lvl w:ilvl="1" w:tplc="47AAC9CE">
      <w:start w:val="1"/>
      <w:numFmt w:val="bullet"/>
      <w:lvlText w:val="○"/>
      <w:lvlJc w:val="left"/>
      <w:pPr>
        <w:ind w:left="1440" w:hanging="360"/>
      </w:pPr>
      <w:rPr>
        <w:u w:val="none"/>
      </w:rPr>
    </w:lvl>
    <w:lvl w:ilvl="2" w:tplc="68D4EBCE">
      <w:start w:val="1"/>
      <w:numFmt w:val="bullet"/>
      <w:lvlText w:val="■"/>
      <w:lvlJc w:val="left"/>
      <w:pPr>
        <w:ind w:left="2160" w:hanging="360"/>
      </w:pPr>
      <w:rPr>
        <w:u w:val="none"/>
      </w:rPr>
    </w:lvl>
    <w:lvl w:ilvl="3" w:tplc="EE6E9B08">
      <w:start w:val="1"/>
      <w:numFmt w:val="bullet"/>
      <w:lvlText w:val="●"/>
      <w:lvlJc w:val="left"/>
      <w:pPr>
        <w:ind w:left="2880" w:hanging="360"/>
      </w:pPr>
      <w:rPr>
        <w:u w:val="none"/>
      </w:rPr>
    </w:lvl>
    <w:lvl w:ilvl="4" w:tplc="FCC24CFA">
      <w:start w:val="1"/>
      <w:numFmt w:val="bullet"/>
      <w:lvlText w:val="○"/>
      <w:lvlJc w:val="left"/>
      <w:pPr>
        <w:ind w:left="3600" w:hanging="360"/>
      </w:pPr>
      <w:rPr>
        <w:u w:val="none"/>
      </w:rPr>
    </w:lvl>
    <w:lvl w:ilvl="5" w:tplc="8DA0BFCC">
      <w:start w:val="1"/>
      <w:numFmt w:val="bullet"/>
      <w:lvlText w:val="■"/>
      <w:lvlJc w:val="left"/>
      <w:pPr>
        <w:ind w:left="4320" w:hanging="360"/>
      </w:pPr>
      <w:rPr>
        <w:u w:val="none"/>
      </w:rPr>
    </w:lvl>
    <w:lvl w:ilvl="6" w:tplc="65B66072">
      <w:start w:val="1"/>
      <w:numFmt w:val="bullet"/>
      <w:lvlText w:val="●"/>
      <w:lvlJc w:val="left"/>
      <w:pPr>
        <w:ind w:left="5040" w:hanging="360"/>
      </w:pPr>
      <w:rPr>
        <w:u w:val="none"/>
      </w:rPr>
    </w:lvl>
    <w:lvl w:ilvl="7" w:tplc="4E9E541C">
      <w:start w:val="1"/>
      <w:numFmt w:val="bullet"/>
      <w:lvlText w:val="○"/>
      <w:lvlJc w:val="left"/>
      <w:pPr>
        <w:ind w:left="5760" w:hanging="360"/>
      </w:pPr>
      <w:rPr>
        <w:u w:val="none"/>
      </w:rPr>
    </w:lvl>
    <w:lvl w:ilvl="8" w:tplc="41FCC258">
      <w:start w:val="1"/>
      <w:numFmt w:val="bullet"/>
      <w:lvlText w:val="■"/>
      <w:lvlJc w:val="left"/>
      <w:pPr>
        <w:ind w:left="6480" w:hanging="360"/>
      </w:pPr>
      <w:rPr>
        <w:u w:val="none"/>
      </w:rPr>
    </w:lvl>
  </w:abstractNum>
  <w:abstractNum w:abstractNumId="2" w15:restartNumberingAfterBreak="0">
    <w:nsid w:val="4F5118BE"/>
    <w:multiLevelType w:val="hybridMultilevel"/>
    <w:tmpl w:val="F08CEA9A"/>
    <w:lvl w:ilvl="0" w:tplc="30090001">
      <w:start w:val="1"/>
      <w:numFmt w:val="bullet"/>
      <w:lvlText w:val=""/>
      <w:lvlJc w:val="left"/>
      <w:pPr>
        <w:ind w:left="720" w:hanging="360"/>
      </w:pPr>
      <w:rPr>
        <w:rFonts w:ascii="Symbol" w:hAnsi="Symbol"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3" w15:restartNumberingAfterBreak="0">
    <w:nsid w:val="51171F72"/>
    <w:multiLevelType w:val="hybridMultilevel"/>
    <w:tmpl w:val="038A27DA"/>
    <w:lvl w:ilvl="0" w:tplc="30090001">
      <w:start w:val="1"/>
      <w:numFmt w:val="bullet"/>
      <w:lvlText w:val=""/>
      <w:lvlJc w:val="left"/>
      <w:pPr>
        <w:ind w:left="720" w:hanging="360"/>
      </w:pPr>
      <w:rPr>
        <w:rFonts w:ascii="Symbol" w:hAnsi="Symbol"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4" w15:restartNumberingAfterBreak="0">
    <w:nsid w:val="66F9D854"/>
    <w:multiLevelType w:val="hybridMultilevel"/>
    <w:tmpl w:val="00000000"/>
    <w:lvl w:ilvl="0" w:tplc="5700FDDE">
      <w:start w:val="1"/>
      <w:numFmt w:val="bullet"/>
      <w:lvlText w:val="●"/>
      <w:lvlJc w:val="left"/>
      <w:pPr>
        <w:ind w:left="720" w:hanging="360"/>
      </w:pPr>
      <w:rPr>
        <w:u w:val="none"/>
      </w:rPr>
    </w:lvl>
    <w:lvl w:ilvl="1" w:tplc="D81A1374">
      <w:start w:val="1"/>
      <w:numFmt w:val="bullet"/>
      <w:lvlText w:val="○"/>
      <w:lvlJc w:val="left"/>
      <w:pPr>
        <w:ind w:left="1440" w:hanging="360"/>
      </w:pPr>
      <w:rPr>
        <w:u w:val="none"/>
      </w:rPr>
    </w:lvl>
    <w:lvl w:ilvl="2" w:tplc="917601D0">
      <w:start w:val="1"/>
      <w:numFmt w:val="bullet"/>
      <w:lvlText w:val="■"/>
      <w:lvlJc w:val="left"/>
      <w:pPr>
        <w:ind w:left="2160" w:hanging="360"/>
      </w:pPr>
      <w:rPr>
        <w:u w:val="none"/>
      </w:rPr>
    </w:lvl>
    <w:lvl w:ilvl="3" w:tplc="FE0225F4">
      <w:start w:val="1"/>
      <w:numFmt w:val="bullet"/>
      <w:lvlText w:val="●"/>
      <w:lvlJc w:val="left"/>
      <w:pPr>
        <w:ind w:left="2880" w:hanging="360"/>
      </w:pPr>
      <w:rPr>
        <w:u w:val="none"/>
      </w:rPr>
    </w:lvl>
    <w:lvl w:ilvl="4" w:tplc="6972ADEE">
      <w:start w:val="1"/>
      <w:numFmt w:val="bullet"/>
      <w:lvlText w:val="○"/>
      <w:lvlJc w:val="left"/>
      <w:pPr>
        <w:ind w:left="3600" w:hanging="360"/>
      </w:pPr>
      <w:rPr>
        <w:u w:val="none"/>
      </w:rPr>
    </w:lvl>
    <w:lvl w:ilvl="5" w:tplc="28BAD272">
      <w:start w:val="1"/>
      <w:numFmt w:val="bullet"/>
      <w:lvlText w:val="■"/>
      <w:lvlJc w:val="left"/>
      <w:pPr>
        <w:ind w:left="4320" w:hanging="360"/>
      </w:pPr>
      <w:rPr>
        <w:u w:val="none"/>
      </w:rPr>
    </w:lvl>
    <w:lvl w:ilvl="6" w:tplc="E154E472">
      <w:start w:val="1"/>
      <w:numFmt w:val="bullet"/>
      <w:lvlText w:val="●"/>
      <w:lvlJc w:val="left"/>
      <w:pPr>
        <w:ind w:left="5040" w:hanging="360"/>
      </w:pPr>
      <w:rPr>
        <w:u w:val="none"/>
      </w:rPr>
    </w:lvl>
    <w:lvl w:ilvl="7" w:tplc="6D14FA3E">
      <w:start w:val="1"/>
      <w:numFmt w:val="bullet"/>
      <w:lvlText w:val="○"/>
      <w:lvlJc w:val="left"/>
      <w:pPr>
        <w:ind w:left="5760" w:hanging="360"/>
      </w:pPr>
      <w:rPr>
        <w:u w:val="none"/>
      </w:rPr>
    </w:lvl>
    <w:lvl w:ilvl="8" w:tplc="E7CC2B74">
      <w:start w:val="1"/>
      <w:numFmt w:val="bullet"/>
      <w:lvlText w:val="■"/>
      <w:lvlJc w:val="left"/>
      <w:pPr>
        <w:ind w:left="6480" w:hanging="360"/>
      </w:pPr>
      <w:rPr>
        <w:u w:val="none"/>
      </w:rPr>
    </w:lvl>
  </w:abstractNum>
  <w:abstractNum w:abstractNumId="5" w15:restartNumberingAfterBreak="0">
    <w:nsid w:val="73C9B357"/>
    <w:multiLevelType w:val="hybridMultilevel"/>
    <w:tmpl w:val="00000000"/>
    <w:lvl w:ilvl="0" w:tplc="32BA65E8">
      <w:start w:val="1"/>
      <w:numFmt w:val="bullet"/>
      <w:lvlText w:val="●"/>
      <w:lvlJc w:val="left"/>
      <w:pPr>
        <w:ind w:left="720" w:hanging="360"/>
      </w:pPr>
      <w:rPr>
        <w:u w:val="none"/>
      </w:rPr>
    </w:lvl>
    <w:lvl w:ilvl="1" w:tplc="143816B6">
      <w:start w:val="1"/>
      <w:numFmt w:val="bullet"/>
      <w:lvlText w:val="○"/>
      <w:lvlJc w:val="left"/>
      <w:pPr>
        <w:ind w:left="1440" w:hanging="360"/>
      </w:pPr>
      <w:rPr>
        <w:u w:val="none"/>
      </w:rPr>
    </w:lvl>
    <w:lvl w:ilvl="2" w:tplc="94608F50">
      <w:start w:val="1"/>
      <w:numFmt w:val="bullet"/>
      <w:lvlText w:val="■"/>
      <w:lvlJc w:val="left"/>
      <w:pPr>
        <w:ind w:left="2160" w:hanging="360"/>
      </w:pPr>
      <w:rPr>
        <w:u w:val="none"/>
      </w:rPr>
    </w:lvl>
    <w:lvl w:ilvl="3" w:tplc="5DA4CE48">
      <w:start w:val="1"/>
      <w:numFmt w:val="bullet"/>
      <w:lvlText w:val="●"/>
      <w:lvlJc w:val="left"/>
      <w:pPr>
        <w:ind w:left="2880" w:hanging="360"/>
      </w:pPr>
      <w:rPr>
        <w:u w:val="none"/>
      </w:rPr>
    </w:lvl>
    <w:lvl w:ilvl="4" w:tplc="5154847E">
      <w:start w:val="1"/>
      <w:numFmt w:val="bullet"/>
      <w:lvlText w:val="○"/>
      <w:lvlJc w:val="left"/>
      <w:pPr>
        <w:ind w:left="3600" w:hanging="360"/>
      </w:pPr>
      <w:rPr>
        <w:u w:val="none"/>
      </w:rPr>
    </w:lvl>
    <w:lvl w:ilvl="5" w:tplc="4184E53C">
      <w:start w:val="1"/>
      <w:numFmt w:val="bullet"/>
      <w:lvlText w:val="■"/>
      <w:lvlJc w:val="left"/>
      <w:pPr>
        <w:ind w:left="4320" w:hanging="360"/>
      </w:pPr>
      <w:rPr>
        <w:u w:val="none"/>
      </w:rPr>
    </w:lvl>
    <w:lvl w:ilvl="6" w:tplc="CF2A0C56">
      <w:start w:val="1"/>
      <w:numFmt w:val="bullet"/>
      <w:lvlText w:val="●"/>
      <w:lvlJc w:val="left"/>
      <w:pPr>
        <w:ind w:left="5040" w:hanging="360"/>
      </w:pPr>
      <w:rPr>
        <w:u w:val="none"/>
      </w:rPr>
    </w:lvl>
    <w:lvl w:ilvl="7" w:tplc="9D44D21C">
      <w:start w:val="1"/>
      <w:numFmt w:val="bullet"/>
      <w:lvlText w:val="○"/>
      <w:lvlJc w:val="left"/>
      <w:pPr>
        <w:ind w:left="5760" w:hanging="360"/>
      </w:pPr>
      <w:rPr>
        <w:u w:val="none"/>
      </w:rPr>
    </w:lvl>
    <w:lvl w:ilvl="8" w:tplc="0D98BEB6">
      <w:start w:val="1"/>
      <w:numFmt w:val="bullet"/>
      <w:lvlText w:val="■"/>
      <w:lvlJc w:val="left"/>
      <w:pPr>
        <w:ind w:left="6480" w:hanging="360"/>
      </w:pPr>
      <w:rPr>
        <w:u w:val="none"/>
      </w:rPr>
    </w:lvl>
  </w:abstractNum>
  <w:num w:numId="1" w16cid:durableId="1584098820">
    <w:abstractNumId w:val="1"/>
  </w:num>
  <w:num w:numId="2" w16cid:durableId="828787040">
    <w:abstractNumId w:val="4"/>
  </w:num>
  <w:num w:numId="3" w16cid:durableId="2023240683">
    <w:abstractNumId w:val="5"/>
  </w:num>
  <w:num w:numId="4" w16cid:durableId="1215265605">
    <w:abstractNumId w:val="3"/>
  </w:num>
  <w:num w:numId="5" w16cid:durableId="16396571">
    <w:abstractNumId w:val="0"/>
  </w:num>
  <w:num w:numId="6" w16cid:durableId="6117150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608"/>
    <w:rsid w:val="000754CF"/>
    <w:rsid w:val="000C1176"/>
    <w:rsid w:val="002017EB"/>
    <w:rsid w:val="00201C9F"/>
    <w:rsid w:val="002A4083"/>
    <w:rsid w:val="002A7579"/>
    <w:rsid w:val="002C4606"/>
    <w:rsid w:val="00335FEF"/>
    <w:rsid w:val="00390D7A"/>
    <w:rsid w:val="003B438C"/>
    <w:rsid w:val="004919F4"/>
    <w:rsid w:val="004E1F91"/>
    <w:rsid w:val="00526CFD"/>
    <w:rsid w:val="005D3437"/>
    <w:rsid w:val="00611A85"/>
    <w:rsid w:val="00657D0C"/>
    <w:rsid w:val="006A3D0A"/>
    <w:rsid w:val="006A43E0"/>
    <w:rsid w:val="006F7F45"/>
    <w:rsid w:val="007364BD"/>
    <w:rsid w:val="007A3F27"/>
    <w:rsid w:val="007C398E"/>
    <w:rsid w:val="0082550B"/>
    <w:rsid w:val="00884ECC"/>
    <w:rsid w:val="008A621E"/>
    <w:rsid w:val="008E090B"/>
    <w:rsid w:val="009B736F"/>
    <w:rsid w:val="00A14608"/>
    <w:rsid w:val="00A253EC"/>
    <w:rsid w:val="00A304B4"/>
    <w:rsid w:val="00A5574B"/>
    <w:rsid w:val="00A86FD0"/>
    <w:rsid w:val="00AF75EE"/>
    <w:rsid w:val="00B13234"/>
    <w:rsid w:val="00BA1549"/>
    <w:rsid w:val="00BD7B9A"/>
    <w:rsid w:val="00CB4595"/>
    <w:rsid w:val="00D4105C"/>
    <w:rsid w:val="00D82F39"/>
    <w:rsid w:val="00E71E57"/>
    <w:rsid w:val="00F21AAD"/>
    <w:rsid w:val="00F22894"/>
    <w:rsid w:val="00FB176A"/>
    <w:rsid w:val="00FD3FD3"/>
  </w:rsids>
  <m:mathPr>
    <m:mathFont m:val="Cambria Math"/>
    <m:brkBin m:val="before"/>
    <m:brkBinSub m:val="--"/>
    <m:smallFrac m:val="0"/>
    <m:dispDef/>
    <m:lMargin m:val="0"/>
    <m:rMargin m:val="0"/>
    <m:defJc m:val="centerGroup"/>
    <m:wrapIndent m:val="1440"/>
    <m:intLim m:val="subSup"/>
    <m:naryLim m:val="undOvr"/>
  </m:mathPr>
  <w:themeFontLang w:val="en-Z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9FA94"/>
  <w15:docId w15:val="{599904A8-F096-48F1-A581-5A0F896A8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253EC"/>
    <w:pPr>
      <w:spacing w:line="360" w:lineRule="auto"/>
      <w:jc w:val="both"/>
    </w:pPr>
    <w:rPr>
      <w:rFonts w:ascii="Times New Roman" w:hAnsi="Times New Roman"/>
      <w:sz w:val="24"/>
      <w:lang w:val="en-GB"/>
    </w:rPr>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Cs w:val="24"/>
    </w:rPr>
  </w:style>
  <w:style w:type="paragraph" w:styleId="Heading5">
    <w:name w:val="heading 5"/>
    <w:basedOn w:val="Normal"/>
    <w:next w:val="Normal"/>
    <w:pPr>
      <w:keepNext/>
      <w:keepLines/>
      <w:spacing w:before="240" w:after="80"/>
      <w:outlineLvl w:val="4"/>
    </w:pPr>
    <w:rPr>
      <w:color w:val="666666"/>
      <w:sz w:val="22"/>
    </w:rPr>
  </w:style>
  <w:style w:type="paragraph" w:styleId="Heading6">
    <w:name w:val="heading 6"/>
    <w:basedOn w:val="Normal"/>
    <w:next w:val="Normal"/>
    <w:pPr>
      <w:keepNext/>
      <w:keepLines/>
      <w:spacing w:before="240" w:after="80"/>
      <w:outlineLvl w:val="5"/>
    </w:pPr>
    <w:rPr>
      <w:i/>
      <w:iCs/>
      <w:color w:val="666666"/>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rFonts w:ascii="Arial" w:hAnsi="Arial"/>
      <w:color w:val="666666"/>
      <w:sz w:val="30"/>
      <w:szCs w:val="30"/>
    </w:rPr>
  </w:style>
  <w:style w:type="table" w:customStyle="1" w:styleId="Table1">
    <w:name w:val="Table1"/>
    <w:basedOn w:val="TableNormal0"/>
    <w:tblPr>
      <w:tblStyleRowBandSize w:val="1"/>
      <w:tblStyleColBandSize w:val="1"/>
    </w:tblPr>
  </w:style>
  <w:style w:type="table" w:customStyle="1" w:styleId="Table2">
    <w:name w:val="Table2"/>
    <w:basedOn w:val="TableNormal0"/>
    <w:tblPr>
      <w:tblStyleRowBandSize w:val="1"/>
      <w:tblStyleColBandSize w:val="1"/>
    </w:tblPr>
  </w:style>
  <w:style w:type="table" w:customStyle="1" w:styleId="Table3">
    <w:name w:val="Table3"/>
    <w:basedOn w:val="TableNormal0"/>
    <w:tblPr>
      <w:tblStyleRowBandSize w:val="1"/>
      <w:tblStyleColBandSize w:val="1"/>
    </w:tblPr>
  </w:style>
  <w:style w:type="table" w:customStyle="1" w:styleId="Table4">
    <w:name w:val="Table4"/>
    <w:basedOn w:val="TableNormal0"/>
    <w:tblPr>
      <w:tblStyleRowBandSize w:val="1"/>
      <w:tblStyleColBandSize w:val="1"/>
    </w:tblPr>
  </w:style>
  <w:style w:type="table" w:customStyle="1" w:styleId="Table5">
    <w:name w:val="Table5"/>
    <w:basedOn w:val="TableNormal0"/>
    <w:tblPr>
      <w:tblStyleRowBandSize w:val="1"/>
      <w:tblStyleColBandSize w:val="1"/>
    </w:tblPr>
  </w:style>
  <w:style w:type="table" w:customStyle="1" w:styleId="Table6">
    <w:name w:val="Table6"/>
    <w:basedOn w:val="TableNormal0"/>
    <w:tblPr>
      <w:tblStyleRowBandSize w:val="1"/>
      <w:tblStyleColBandSize w:val="1"/>
    </w:tblPr>
  </w:style>
  <w:style w:type="paragraph" w:styleId="Header">
    <w:name w:val="header"/>
    <w:basedOn w:val="Normal"/>
    <w:link w:val="HeaderChar"/>
    <w:uiPriority w:val="99"/>
    <w:unhideWhenUsed/>
    <w:rsid w:val="00A253EC"/>
    <w:pPr>
      <w:tabs>
        <w:tab w:val="center" w:pos="4513"/>
        <w:tab w:val="right" w:pos="9026"/>
      </w:tabs>
      <w:spacing w:line="240" w:lineRule="auto"/>
    </w:pPr>
  </w:style>
  <w:style w:type="character" w:customStyle="1" w:styleId="HeaderChar">
    <w:name w:val="Header Char"/>
    <w:basedOn w:val="DefaultParagraphFont"/>
    <w:link w:val="Header"/>
    <w:uiPriority w:val="99"/>
    <w:rsid w:val="00A253EC"/>
    <w:rPr>
      <w:lang w:val="en-GB"/>
    </w:rPr>
  </w:style>
  <w:style w:type="paragraph" w:styleId="Footer">
    <w:name w:val="footer"/>
    <w:basedOn w:val="Normal"/>
    <w:link w:val="FooterChar"/>
    <w:uiPriority w:val="99"/>
    <w:unhideWhenUsed/>
    <w:rsid w:val="00A253EC"/>
    <w:pPr>
      <w:tabs>
        <w:tab w:val="center" w:pos="4513"/>
        <w:tab w:val="right" w:pos="9026"/>
      </w:tabs>
      <w:spacing w:line="240" w:lineRule="auto"/>
    </w:pPr>
  </w:style>
  <w:style w:type="character" w:customStyle="1" w:styleId="FooterChar">
    <w:name w:val="Footer Char"/>
    <w:basedOn w:val="DefaultParagraphFont"/>
    <w:link w:val="Footer"/>
    <w:uiPriority w:val="99"/>
    <w:rsid w:val="00A253EC"/>
    <w:rPr>
      <w:lang w:val="en-GB"/>
    </w:rPr>
  </w:style>
  <w:style w:type="character" w:styleId="Hyperlink">
    <w:name w:val="Hyperlink"/>
    <w:basedOn w:val="DefaultParagraphFont"/>
    <w:uiPriority w:val="99"/>
    <w:unhideWhenUsed/>
    <w:rsid w:val="007C398E"/>
    <w:rPr>
      <w:color w:val="0000FF" w:themeColor="hyperlink"/>
      <w:u w:val="single"/>
    </w:rPr>
  </w:style>
  <w:style w:type="character" w:styleId="UnresolvedMention">
    <w:name w:val="Unresolved Mention"/>
    <w:basedOn w:val="DefaultParagraphFont"/>
    <w:uiPriority w:val="99"/>
    <w:semiHidden/>
    <w:unhideWhenUsed/>
    <w:rsid w:val="007C398E"/>
    <w:rPr>
      <w:color w:val="605E5C"/>
      <w:shd w:val="clear" w:color="auto" w:fill="E1DFDD"/>
    </w:rPr>
  </w:style>
  <w:style w:type="paragraph" w:styleId="ListParagraph">
    <w:name w:val="List Paragraph"/>
    <w:basedOn w:val="Normal"/>
    <w:uiPriority w:val="34"/>
    <w:qFormat/>
    <w:rsid w:val="00A86F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doi.org/10.37641/jimkes.v12i5.2813" TargetMode="External"/><Relationship Id="rId18" Type="http://schemas.openxmlformats.org/officeDocument/2006/relationships/hyperlink" Target="https://www.angelone.in/smart-money/trading-courses" TargetMode="External"/><Relationship Id="rId26" Type="http://schemas.openxmlformats.org/officeDocument/2006/relationships/hyperlink" Target="https://groww.in/p/investment-basics" TargetMode="External"/><Relationship Id="rId39" Type="http://schemas.openxmlformats.org/officeDocument/2006/relationships/hyperlink" Target="https://doi.org/10.1016/j.ecosys.2023.101148" TargetMode="External"/><Relationship Id="rId21" Type="http://schemas.openxmlformats.org/officeDocument/2006/relationships/hyperlink" Target="https://doi.org/10.48550/ARXIV.2407.03498" TargetMode="External"/><Relationship Id="rId34" Type="http://schemas.openxmlformats.org/officeDocument/2006/relationships/hyperlink" Target="https://doi.org/10.36713/epra16186" TargetMode="External"/><Relationship Id="rId42" Type="http://schemas.openxmlformats.org/officeDocument/2006/relationships/hyperlink" Target="https://doi.org/10.3389/fdata.2024.1448571" TargetMode="External"/><Relationship Id="rId47" Type="http://schemas.openxmlformats.org/officeDocument/2006/relationships/hyperlink" Target="https://www.researchgate.net/publication/378715559_Digital_financial_literacy_and_fintech_adoption" TargetMode="External"/><Relationship Id="rId50" Type="http://schemas.openxmlformats.org/officeDocument/2006/relationships/hyperlink" Target="https://doi.org/10.3390/info16110954" TargetMode="External"/><Relationship Id="rId55" Type="http://schemas.openxmlformats.org/officeDocument/2006/relationships/hyperlink" Target="https://doi.org/10.3389/fpubh.2024.1249621" TargetMode="External"/><Relationship Id="rId63"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angelone.in/knowledge-center" TargetMode="External"/><Relationship Id="rId29" Type="http://schemas.openxmlformats.org/officeDocument/2006/relationships/hyperlink" Target="https://cepr.org/voxeu/columns/stock-market-participation-and-financial-education-digital-age" TargetMode="External"/><Relationship Id="rId11" Type="http://schemas.openxmlformats.org/officeDocument/2006/relationships/image" Target="media/image4.png"/><Relationship Id="rId24" Type="http://schemas.openxmlformats.org/officeDocument/2006/relationships/hyperlink" Target="https://doi.org/10.24252/minds.v12i2.56161" TargetMode="External"/><Relationship Id="rId32" Type="http://schemas.openxmlformats.org/officeDocument/2006/relationships/hyperlink" Target="https://doi.org/10.1080/13547860.2024.2386825" TargetMode="External"/><Relationship Id="rId37" Type="http://schemas.openxmlformats.org/officeDocument/2006/relationships/hyperlink" Target="https://doi.org/10.55942/jebl.v3i6.270" TargetMode="External"/><Relationship Id="rId40" Type="http://schemas.openxmlformats.org/officeDocument/2006/relationships/hyperlink" Target="https://doi.org/10.1016/j.ecosys.2023.101148" TargetMode="External"/><Relationship Id="rId45" Type="http://schemas.openxmlformats.org/officeDocument/2006/relationships/hyperlink" Target="https://doi.org/10.47814/ijssrr.v8i7.2838" TargetMode="External"/><Relationship Id="rId53" Type="http://schemas.openxmlformats.org/officeDocument/2006/relationships/hyperlink" Target="https://doi.org/10.3390/su152316167" TargetMode="External"/><Relationship Id="rId58" Type="http://schemas.openxmlformats.org/officeDocument/2006/relationships/hyperlink" Target="https://doi.org/10.21511/imfi.21(4).2024.13" TargetMode="External"/><Relationship Id="rId5" Type="http://schemas.openxmlformats.org/officeDocument/2006/relationships/footnotes" Target="footnotes.xml"/><Relationship Id="rId61" Type="http://schemas.openxmlformats.org/officeDocument/2006/relationships/hyperlink" Target="https://zerodha.com/varsity/modules/?utm_source=chatgpt.com" TargetMode="External"/><Relationship Id="rId19" Type="http://schemas.openxmlformats.org/officeDocument/2006/relationships/hyperlink" Target="https://doi.org/10.70716/ecoma.v3i3.337" TargetMode="External"/><Relationship Id="rId14" Type="http://schemas.openxmlformats.org/officeDocument/2006/relationships/hyperlink" Target="https://doi.org/10.3390/fintech4030049" TargetMode="External"/><Relationship Id="rId22" Type="http://schemas.openxmlformats.org/officeDocument/2006/relationships/hyperlink" Target="https://doi.org/10.3389/fnut.2025.1682811" TargetMode="External"/><Relationship Id="rId27" Type="http://schemas.openxmlformats.org/officeDocument/2006/relationships/hyperlink" Target="https://groww.in/digest" TargetMode="External"/><Relationship Id="rId30" Type="http://schemas.openxmlformats.org/officeDocument/2006/relationships/hyperlink" Target="https://cepr.org/voxeu/columns/stock-market-participation-and-financial-education-digital-age" TargetMode="External"/><Relationship Id="rId35" Type="http://schemas.openxmlformats.org/officeDocument/2006/relationships/hyperlink" Target="https://doi.org/10.36948/ijfmr.2026.v08i01.66995" TargetMode="External"/><Relationship Id="rId43" Type="http://schemas.openxmlformats.org/officeDocument/2006/relationships/hyperlink" Target="https://doi.org/10.3390/su17104340" TargetMode="External"/><Relationship Id="rId48" Type="http://schemas.openxmlformats.org/officeDocument/2006/relationships/hyperlink" Target="https://doi.org/10.3390/app14020628" TargetMode="External"/><Relationship Id="rId56" Type="http://schemas.openxmlformats.org/officeDocument/2006/relationships/hyperlink" Target="https://upstox.com/learning-center/" TargetMode="External"/><Relationship Id="rId64"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hyperlink" Target="https://doi.org/10.1007/s43621-026-02869-8" TargetMode="External"/><Relationship Id="rId3" Type="http://schemas.openxmlformats.org/officeDocument/2006/relationships/settings" Target="settings.xml"/><Relationship Id="rId12" Type="http://schemas.openxmlformats.org/officeDocument/2006/relationships/hyperlink" Target="https://doi.org/10.52353/ama.v18i2.912" TargetMode="External"/><Relationship Id="rId17" Type="http://schemas.openxmlformats.org/officeDocument/2006/relationships/hyperlink" Target="https://www.angelone.in/knowledge-center/user-manual/home" TargetMode="External"/><Relationship Id="rId25" Type="http://schemas.openxmlformats.org/officeDocument/2006/relationships/hyperlink" Target="https://doi.org/10.24252/minds.v12i2.56161" TargetMode="External"/><Relationship Id="rId33" Type="http://schemas.openxmlformats.org/officeDocument/2006/relationships/hyperlink" Target="https://doi.org/10.21511/imfi.21(2).2024.30" TargetMode="External"/><Relationship Id="rId38" Type="http://schemas.openxmlformats.org/officeDocument/2006/relationships/hyperlink" Target="https://doi.org/10.55942/jebl.v3i6.270" TargetMode="External"/><Relationship Id="rId46" Type="http://schemas.openxmlformats.org/officeDocument/2006/relationships/hyperlink" Target="https://doi.org/10.5281/ZENODO.17481293" TargetMode="External"/><Relationship Id="rId59" Type="http://schemas.openxmlformats.org/officeDocument/2006/relationships/hyperlink" Target="https://doi.org/10.1371/journal.pone.0265606" TargetMode="External"/><Relationship Id="rId20" Type="http://schemas.openxmlformats.org/officeDocument/2006/relationships/hyperlink" Target="https://doi.org/10.3390/ijfs14020035" TargetMode="External"/><Relationship Id="rId41" Type="http://schemas.openxmlformats.org/officeDocument/2006/relationships/hyperlink" Target="https://doi.org/10.1007/s43621-025-02368-2" TargetMode="External"/><Relationship Id="rId54" Type="http://schemas.openxmlformats.org/officeDocument/2006/relationships/hyperlink" Target="https://doi.org/10.26650/jepr1406361" TargetMode="External"/><Relationship Id="rId62" Type="http://schemas.openxmlformats.org/officeDocument/2006/relationships/hyperlink" Target="https://zerodha.com/varsity/chapter/getting-started/?utm_source=chatgpt.com"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i.org/10.3390/healthcare12161652" TargetMode="External"/><Relationship Id="rId23" Type="http://schemas.openxmlformats.org/officeDocument/2006/relationships/hyperlink" Target="https://doi.org/10.1080/1351847x.2024.2401604" TargetMode="External"/><Relationship Id="rId28" Type="http://schemas.openxmlformats.org/officeDocument/2006/relationships/hyperlink" Target="https://groww.in/p/stock-market-basics" TargetMode="External"/><Relationship Id="rId36" Type="http://schemas.openxmlformats.org/officeDocument/2006/relationships/hyperlink" Target="https://doi.org/10.55942/jebl.v3i6.270" TargetMode="External"/><Relationship Id="rId49" Type="http://schemas.openxmlformats.org/officeDocument/2006/relationships/hyperlink" Target="https://doi.org/10.1108/jebde-03-2025-0019" TargetMode="External"/><Relationship Id="rId57" Type="http://schemas.openxmlformats.org/officeDocument/2006/relationships/hyperlink" Target="https://doi.org/10.3389/fmed.2025.1726666" TargetMode="External"/><Relationship Id="rId10" Type="http://schemas.openxmlformats.org/officeDocument/2006/relationships/image" Target="media/image3.png"/><Relationship Id="rId31" Type="http://schemas.openxmlformats.org/officeDocument/2006/relationships/hyperlink" Target="https://doi.org/10.9790/487x-2710078193" TargetMode="External"/><Relationship Id="rId44" Type="http://schemas.openxmlformats.org/officeDocument/2006/relationships/hyperlink" Target="https://doi.org/10.20885/ambr.vol5.iss2.art9" TargetMode="External"/><Relationship Id="rId52" Type="http://schemas.openxmlformats.org/officeDocument/2006/relationships/hyperlink" Target="https://doi.org/10.3390/buildings14020486" TargetMode="External"/><Relationship Id="rId60" Type="http://schemas.openxmlformats.org/officeDocument/2006/relationships/hyperlink" Target="https://zerodha.com/varsity/" TargetMode="Externa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TotalTime>
  <Pages>16</Pages>
  <Words>6956</Words>
  <Characters>39653</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33</cp:revision>
  <dcterms:created xsi:type="dcterms:W3CDTF">2026-04-23T15:17:00Z</dcterms:created>
  <dcterms:modified xsi:type="dcterms:W3CDTF">2026-04-29T11:32:00Z</dcterms:modified>
</cp:coreProperties>
</file>