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7F11" w:rsidRDefault="00BB7F11">
      <w:pPr>
        <w:spacing w:line="360" w:lineRule="auto"/>
      </w:pPr>
    </w:p>
    <w:p w:rsidR="00BB7F11" w:rsidRDefault="00BB7F11">
      <w:pPr>
        <w:spacing w:line="360" w:lineRule="auto"/>
      </w:pPr>
    </w:p>
    <w:p w:rsidR="00BB7F11" w:rsidRDefault="00BB7F11">
      <w:pPr>
        <w:spacing w:line="360" w:lineRule="auto"/>
      </w:pPr>
    </w:p>
    <w:p w:rsidR="00BB7F11" w:rsidRDefault="00BB7F11">
      <w:pPr>
        <w:spacing w:line="360" w:lineRule="auto"/>
      </w:pPr>
    </w:p>
    <w:p w:rsidR="00BB7F11" w:rsidRDefault="00BB7F11">
      <w:pPr>
        <w:spacing w:line="360" w:lineRule="auto"/>
      </w:pPr>
    </w:p>
    <w:p w:rsidR="00BB7F11" w:rsidRDefault="00BB7F11">
      <w:pPr>
        <w:spacing w:line="360" w:lineRule="auto"/>
      </w:pPr>
    </w:p>
    <w:p w:rsidR="00BB7F11" w:rsidRDefault="00BB7F11">
      <w:pPr>
        <w:spacing w:line="360" w:lineRule="auto"/>
        <w:jc w:val="center"/>
        <w:rPr>
          <w:b/>
          <w:bCs/>
          <w:sz w:val="32"/>
          <w:szCs w:val="32"/>
        </w:rPr>
      </w:pPr>
    </w:p>
    <w:p w:rsidR="00BB7F11" w:rsidRDefault="00BB7F11">
      <w:pPr>
        <w:spacing w:line="360" w:lineRule="auto"/>
        <w:jc w:val="center"/>
        <w:rPr>
          <w:b/>
          <w:bCs/>
          <w:sz w:val="32"/>
          <w:szCs w:val="32"/>
        </w:rPr>
      </w:pPr>
    </w:p>
    <w:p w:rsidR="00BB7F11" w:rsidRDefault="00A947D5">
      <w:pPr>
        <w:spacing w:line="360" w:lineRule="auto"/>
        <w:jc w:val="center"/>
        <w:rPr>
          <w:b/>
          <w:bCs/>
          <w:sz w:val="32"/>
          <w:szCs w:val="32"/>
        </w:rPr>
      </w:pPr>
      <w:bookmarkStart w:id="0" w:name="_heading=h.ue9uqcpp6y7" w:colFirst="0" w:colLast="0"/>
      <w:bookmarkEnd w:id="0"/>
      <w:r>
        <w:rPr>
          <w:b/>
          <w:bCs/>
          <w:sz w:val="32"/>
          <w:szCs w:val="32"/>
        </w:rPr>
        <w:t>DEMAND PREDICTION, STATION SEGMENTATION AND TIME-SERIES FORECASTING FOR CAPITAL BIKESHARE</w:t>
      </w:r>
    </w:p>
    <w:p w:rsidR="00BB7F11" w:rsidRDefault="00A947D5">
      <w:pPr>
        <w:spacing w:line="360" w:lineRule="auto"/>
      </w:pPr>
      <w:r>
        <w:br w:type="page"/>
      </w:r>
    </w:p>
    <w:p w:rsidR="00BB7F11" w:rsidRDefault="00A947D5">
      <w:pPr>
        <w:spacing w:line="360" w:lineRule="auto"/>
        <w:rPr>
          <w:b/>
          <w:bCs/>
          <w:sz w:val="28"/>
          <w:szCs w:val="28"/>
        </w:rPr>
      </w:pPr>
      <w:r>
        <w:rPr>
          <w:b/>
          <w:bCs/>
          <w:sz w:val="28"/>
          <w:szCs w:val="28"/>
        </w:rPr>
        <w:lastRenderedPageBreak/>
        <w:t>Executive Summary</w:t>
      </w:r>
    </w:p>
    <w:p w:rsidR="00BB7F11" w:rsidRDefault="00A947D5">
      <w:pPr>
        <w:spacing w:line="360" w:lineRule="auto"/>
      </w:pPr>
      <w:r>
        <w:t xml:space="preserve">This research is focused on demand analysis in the context of Capital </w:t>
      </w:r>
      <w:proofErr w:type="spellStart"/>
      <w:r>
        <w:t>Bikeshare</w:t>
      </w:r>
      <w:proofErr w:type="spellEnd"/>
      <w:r>
        <w:t xml:space="preserve"> operations by using predictive analytics and clustering techniques. Trip history data and weather information from May 2020 to August 2024 have been analyzed to understand dema</w:t>
      </w:r>
      <w:r>
        <w:t>nd dynamics, compare linear regression modeling with decision tree approaches, cluster the stations based on demand characteristics, and create the forecasting model based on weather and SARIMAX model for 30 days ahead forecasting. It was concluded that bi</w:t>
      </w:r>
      <w:r>
        <w:t>cycle demand is significantly affected by seasonality, weather conditions, and long-term trends. Linear regression showed the best performance in terms of prediction accuracy and three stations' clusters were found to facilitate more efficient management o</w:t>
      </w:r>
      <w:r>
        <w:t>f the stations.</w:t>
      </w:r>
      <w:r>
        <w:br w:type="page"/>
      </w:r>
    </w:p>
    <w:p w:rsidR="00BB7F11" w:rsidRDefault="00A947D5">
      <w:pPr>
        <w:keepNext/>
        <w:keepLines/>
        <w:pBdr>
          <w:top w:val="nil"/>
          <w:left w:val="nil"/>
          <w:bottom w:val="nil"/>
          <w:right w:val="nil"/>
          <w:between w:val="nil"/>
        </w:pBdr>
        <w:spacing w:before="200" w:after="100" w:line="360" w:lineRule="auto"/>
        <w:jc w:val="center"/>
        <w:rPr>
          <w:b/>
          <w:bCs/>
          <w:color w:val="000000"/>
          <w:sz w:val="28"/>
          <w:szCs w:val="28"/>
        </w:rPr>
      </w:pPr>
      <w:r>
        <w:rPr>
          <w:b/>
          <w:bCs/>
          <w:color w:val="000000"/>
          <w:sz w:val="28"/>
          <w:szCs w:val="28"/>
        </w:rPr>
        <w:lastRenderedPageBreak/>
        <w:t>Table of Contents</w:t>
      </w:r>
    </w:p>
    <w:sdt>
      <w:sdtPr>
        <w:id w:val="2017339003"/>
        <w:docPartObj>
          <w:docPartGallery w:val="Table of Contents"/>
          <w:docPartUnique/>
        </w:docPartObj>
      </w:sdtPr>
      <w:sdtEndPr/>
      <w:sdtContent>
        <w:p w:rsidR="00BB7F11" w:rsidRDefault="00A947D5">
          <w:pPr>
            <w:pBdr>
              <w:top w:val="nil"/>
              <w:left w:val="nil"/>
              <w:bottom w:val="nil"/>
              <w:right w:val="nil"/>
              <w:between w:val="nil"/>
            </w:pBdr>
            <w:tabs>
              <w:tab w:val="right" w:leader="dot" w:pos="9984"/>
            </w:tabs>
            <w:spacing w:after="100" w:line="360" w:lineRule="auto"/>
            <w:rPr>
              <w:color w:val="000000"/>
            </w:rPr>
          </w:pPr>
          <w:r>
            <w:fldChar w:fldCharType="begin"/>
          </w:r>
          <w:r>
            <w:instrText xml:space="preserve"> TOC \h \u \z \t "Heading 1,1,Heading 2,2,Heading 3,3,"</w:instrText>
          </w:r>
          <w:r>
            <w:fldChar w:fldCharType="separate"/>
          </w:r>
          <w:hyperlink w:anchor="_heading=h.pxlz8fs3lmft">
            <w:r>
              <w:rPr>
                <w:color w:val="000000"/>
              </w:rPr>
              <w:t>1. Introduction and decision context</w:t>
            </w:r>
            <w:r>
              <w:rPr>
                <w:color w:val="000000"/>
              </w:rPr>
              <w:tab/>
              <w:t>4</w:t>
            </w:r>
          </w:hyperlink>
        </w:p>
        <w:p w:rsidR="00BB7F11" w:rsidRDefault="00A947D5">
          <w:pPr>
            <w:pBdr>
              <w:top w:val="nil"/>
              <w:left w:val="nil"/>
              <w:bottom w:val="nil"/>
              <w:right w:val="nil"/>
              <w:between w:val="nil"/>
            </w:pBdr>
            <w:tabs>
              <w:tab w:val="right" w:leader="dot" w:pos="9984"/>
            </w:tabs>
            <w:spacing w:after="100" w:line="360" w:lineRule="auto"/>
            <w:rPr>
              <w:color w:val="000000"/>
            </w:rPr>
          </w:pPr>
          <w:hyperlink w:anchor="_heading=h.26crggji29fa">
            <w:r>
              <w:rPr>
                <w:color w:val="000000"/>
              </w:rPr>
              <w:t xml:space="preserve">2. Data Preparation and Analytical </w:t>
            </w:r>
            <w:r>
              <w:rPr>
                <w:color w:val="000000"/>
              </w:rPr>
              <w:t>Design</w:t>
            </w:r>
            <w:r>
              <w:rPr>
                <w:color w:val="000000"/>
              </w:rPr>
              <w:tab/>
              <w:t>4</w:t>
            </w:r>
          </w:hyperlink>
        </w:p>
        <w:p w:rsidR="00BB7F11" w:rsidRDefault="00A947D5">
          <w:pPr>
            <w:pBdr>
              <w:top w:val="nil"/>
              <w:left w:val="nil"/>
              <w:bottom w:val="nil"/>
              <w:right w:val="nil"/>
              <w:between w:val="nil"/>
            </w:pBdr>
            <w:tabs>
              <w:tab w:val="right" w:leader="dot" w:pos="9984"/>
            </w:tabs>
            <w:spacing w:after="100" w:line="360" w:lineRule="auto"/>
            <w:ind w:left="240"/>
            <w:rPr>
              <w:color w:val="000000"/>
            </w:rPr>
          </w:pPr>
          <w:hyperlink w:anchor="_heading=h.l27p1idxs9vo">
            <w:r>
              <w:rPr>
                <w:color w:val="000000"/>
              </w:rPr>
              <w:t>2.1 Data Sources and Structure</w:t>
            </w:r>
            <w:r>
              <w:rPr>
                <w:color w:val="000000"/>
              </w:rPr>
              <w:tab/>
              <w:t>4</w:t>
            </w:r>
          </w:hyperlink>
        </w:p>
        <w:p w:rsidR="00BB7F11" w:rsidRDefault="00A947D5">
          <w:pPr>
            <w:pBdr>
              <w:top w:val="nil"/>
              <w:left w:val="nil"/>
              <w:bottom w:val="nil"/>
              <w:right w:val="nil"/>
              <w:between w:val="nil"/>
            </w:pBdr>
            <w:tabs>
              <w:tab w:val="right" w:leader="dot" w:pos="9984"/>
            </w:tabs>
            <w:spacing w:after="100" w:line="360" w:lineRule="auto"/>
            <w:ind w:left="240"/>
            <w:rPr>
              <w:color w:val="000000"/>
            </w:rPr>
          </w:pPr>
          <w:hyperlink w:anchor="_heading=h.vt7rmi2dq6m8">
            <w:r>
              <w:rPr>
                <w:color w:val="000000"/>
              </w:rPr>
              <w:t>2.2 Pre-processing and validation</w:t>
            </w:r>
            <w:r>
              <w:rPr>
                <w:color w:val="000000"/>
              </w:rPr>
              <w:tab/>
              <w:t>5</w:t>
            </w:r>
          </w:hyperlink>
        </w:p>
        <w:p w:rsidR="00BB7F11" w:rsidRDefault="00A947D5">
          <w:pPr>
            <w:pBdr>
              <w:top w:val="nil"/>
              <w:left w:val="nil"/>
              <w:bottom w:val="nil"/>
              <w:right w:val="nil"/>
              <w:between w:val="nil"/>
            </w:pBdr>
            <w:tabs>
              <w:tab w:val="right" w:leader="dot" w:pos="9984"/>
            </w:tabs>
            <w:spacing w:after="100" w:line="360" w:lineRule="auto"/>
            <w:rPr>
              <w:color w:val="000000"/>
            </w:rPr>
          </w:pPr>
          <w:hyperlink w:anchor="_heading=h.r1r63vj1rkqq">
            <w:r>
              <w:rPr>
                <w:color w:val="000000"/>
              </w:rPr>
              <w:t>3. Exploratory data analysis</w:t>
            </w:r>
            <w:r>
              <w:rPr>
                <w:color w:val="000000"/>
              </w:rPr>
              <w:tab/>
              <w:t>5</w:t>
            </w:r>
          </w:hyperlink>
        </w:p>
        <w:p w:rsidR="00BB7F11" w:rsidRDefault="00A947D5">
          <w:pPr>
            <w:pBdr>
              <w:top w:val="nil"/>
              <w:left w:val="nil"/>
              <w:bottom w:val="nil"/>
              <w:right w:val="nil"/>
              <w:between w:val="nil"/>
            </w:pBdr>
            <w:tabs>
              <w:tab w:val="right" w:leader="dot" w:pos="9984"/>
            </w:tabs>
            <w:spacing w:after="100" w:line="360" w:lineRule="auto"/>
            <w:rPr>
              <w:color w:val="000000"/>
            </w:rPr>
          </w:pPr>
          <w:hyperlink w:anchor="_heading=h.9e1kvg47v5wf">
            <w:r>
              <w:rPr>
                <w:color w:val="000000"/>
              </w:rPr>
              <w:t>4. Prediction: Regression and Decision Trees</w:t>
            </w:r>
            <w:r>
              <w:rPr>
                <w:color w:val="000000"/>
              </w:rPr>
              <w:tab/>
              <w:t>7</w:t>
            </w:r>
          </w:hyperlink>
        </w:p>
        <w:p w:rsidR="00BB7F11" w:rsidRDefault="00A947D5">
          <w:pPr>
            <w:pBdr>
              <w:top w:val="nil"/>
              <w:left w:val="nil"/>
              <w:bottom w:val="nil"/>
              <w:right w:val="nil"/>
              <w:between w:val="nil"/>
            </w:pBdr>
            <w:tabs>
              <w:tab w:val="right" w:leader="dot" w:pos="9984"/>
            </w:tabs>
            <w:spacing w:after="100" w:line="360" w:lineRule="auto"/>
            <w:ind w:left="240"/>
            <w:rPr>
              <w:color w:val="000000"/>
            </w:rPr>
          </w:pPr>
          <w:hyperlink w:anchor="_heading=h.abl56uyjgv8">
            <w:r>
              <w:rPr>
                <w:color w:val="000000"/>
              </w:rPr>
              <w:t>4.1 Model rationale and implementation</w:t>
            </w:r>
            <w:r>
              <w:rPr>
                <w:color w:val="000000"/>
              </w:rPr>
              <w:tab/>
              <w:t>7</w:t>
            </w:r>
          </w:hyperlink>
        </w:p>
        <w:p w:rsidR="00BB7F11" w:rsidRDefault="00A947D5">
          <w:pPr>
            <w:pBdr>
              <w:top w:val="nil"/>
              <w:left w:val="nil"/>
              <w:bottom w:val="nil"/>
              <w:right w:val="nil"/>
              <w:between w:val="nil"/>
            </w:pBdr>
            <w:tabs>
              <w:tab w:val="right" w:leader="dot" w:pos="9984"/>
            </w:tabs>
            <w:spacing w:after="100" w:line="360" w:lineRule="auto"/>
            <w:ind w:left="240"/>
            <w:rPr>
              <w:color w:val="000000"/>
            </w:rPr>
          </w:pPr>
          <w:hyperlink w:anchor="_heading=h.73099fmbjdms">
            <w:r>
              <w:rPr>
                <w:color w:val="000000"/>
              </w:rPr>
              <w:t>4.2 Results and interpretation</w:t>
            </w:r>
            <w:r>
              <w:rPr>
                <w:color w:val="000000"/>
              </w:rPr>
              <w:tab/>
              <w:t>7</w:t>
            </w:r>
          </w:hyperlink>
        </w:p>
        <w:p w:rsidR="00BB7F11" w:rsidRDefault="00A947D5">
          <w:pPr>
            <w:pBdr>
              <w:top w:val="nil"/>
              <w:left w:val="nil"/>
              <w:bottom w:val="nil"/>
              <w:right w:val="nil"/>
              <w:between w:val="nil"/>
            </w:pBdr>
            <w:tabs>
              <w:tab w:val="right" w:leader="dot" w:pos="9984"/>
            </w:tabs>
            <w:spacing w:after="100" w:line="360" w:lineRule="auto"/>
            <w:rPr>
              <w:color w:val="000000"/>
            </w:rPr>
          </w:pPr>
          <w:hyperlink w:anchor="_heading=h.jy8l3d16ydej">
            <w:r>
              <w:rPr>
                <w:color w:val="000000"/>
              </w:rPr>
              <w:t>5. Clustering and station profiles</w:t>
            </w:r>
            <w:r>
              <w:rPr>
                <w:color w:val="000000"/>
              </w:rPr>
              <w:tab/>
              <w:t>9</w:t>
            </w:r>
          </w:hyperlink>
        </w:p>
        <w:p w:rsidR="00BB7F11" w:rsidRDefault="00A947D5">
          <w:pPr>
            <w:pBdr>
              <w:top w:val="nil"/>
              <w:left w:val="nil"/>
              <w:bottom w:val="nil"/>
              <w:right w:val="nil"/>
              <w:between w:val="nil"/>
            </w:pBdr>
            <w:tabs>
              <w:tab w:val="right" w:leader="dot" w:pos="9984"/>
            </w:tabs>
            <w:spacing w:after="100" w:line="360" w:lineRule="auto"/>
            <w:rPr>
              <w:color w:val="000000"/>
            </w:rPr>
          </w:pPr>
          <w:hyperlink w:anchor="_heading=h.gxhx5qszb1fk">
            <w:r>
              <w:rPr>
                <w:color w:val="000000"/>
              </w:rPr>
              <w:t>6. Time-series analysis and forecasting</w:t>
            </w:r>
            <w:r>
              <w:rPr>
                <w:color w:val="000000"/>
              </w:rPr>
              <w:tab/>
              <w:t>10</w:t>
            </w:r>
          </w:hyperlink>
        </w:p>
        <w:p w:rsidR="00BB7F11" w:rsidRDefault="00A947D5">
          <w:pPr>
            <w:pBdr>
              <w:top w:val="nil"/>
              <w:left w:val="nil"/>
              <w:bottom w:val="nil"/>
              <w:right w:val="nil"/>
              <w:between w:val="nil"/>
            </w:pBdr>
            <w:tabs>
              <w:tab w:val="right" w:leader="dot" w:pos="9984"/>
            </w:tabs>
            <w:spacing w:after="100" w:line="360" w:lineRule="auto"/>
            <w:ind w:left="240"/>
            <w:rPr>
              <w:color w:val="000000"/>
            </w:rPr>
          </w:pPr>
          <w:hyperlink w:anchor="_heading=h.snmtecpp1gsu">
            <w:r>
              <w:rPr>
                <w:color w:val="000000"/>
              </w:rPr>
              <w:t>6.1 Trend, Seasonality and Stationarit</w:t>
            </w:r>
            <w:r>
              <w:rPr>
                <w:color w:val="000000"/>
              </w:rPr>
              <w:t>y</w:t>
            </w:r>
            <w:r>
              <w:rPr>
                <w:color w:val="000000"/>
              </w:rPr>
              <w:tab/>
              <w:t>10</w:t>
            </w:r>
          </w:hyperlink>
        </w:p>
        <w:p w:rsidR="00BB7F11" w:rsidRDefault="00A947D5">
          <w:pPr>
            <w:pBdr>
              <w:top w:val="nil"/>
              <w:left w:val="nil"/>
              <w:bottom w:val="nil"/>
              <w:right w:val="nil"/>
              <w:between w:val="nil"/>
            </w:pBdr>
            <w:tabs>
              <w:tab w:val="right" w:leader="dot" w:pos="9984"/>
            </w:tabs>
            <w:spacing w:after="100" w:line="360" w:lineRule="auto"/>
            <w:ind w:left="240"/>
            <w:rPr>
              <w:color w:val="000000"/>
            </w:rPr>
          </w:pPr>
          <w:hyperlink w:anchor="_heading=h.e1syjxrvwflc">
            <w:r>
              <w:rPr>
                <w:color w:val="000000"/>
              </w:rPr>
              <w:t>6.2 SARIMAX Validation and Final Forecast</w:t>
            </w:r>
            <w:r>
              <w:rPr>
                <w:color w:val="000000"/>
              </w:rPr>
              <w:tab/>
              <w:t>11</w:t>
            </w:r>
          </w:hyperlink>
        </w:p>
        <w:p w:rsidR="00BB7F11" w:rsidRDefault="00A947D5">
          <w:pPr>
            <w:pBdr>
              <w:top w:val="nil"/>
              <w:left w:val="nil"/>
              <w:bottom w:val="nil"/>
              <w:right w:val="nil"/>
              <w:between w:val="nil"/>
            </w:pBdr>
            <w:tabs>
              <w:tab w:val="right" w:leader="dot" w:pos="9984"/>
            </w:tabs>
            <w:spacing w:after="100" w:line="360" w:lineRule="auto"/>
            <w:rPr>
              <w:color w:val="000000"/>
            </w:rPr>
          </w:pPr>
          <w:hyperlink w:anchor="_heading=h.dkev3r2qgra7">
            <w:r>
              <w:rPr>
                <w:color w:val="000000"/>
              </w:rPr>
              <w:t>7. Recommendations and evaluation</w:t>
            </w:r>
            <w:r>
              <w:rPr>
                <w:color w:val="000000"/>
              </w:rPr>
              <w:tab/>
              <w:t>14</w:t>
            </w:r>
          </w:hyperlink>
        </w:p>
        <w:p w:rsidR="00BB7F11" w:rsidRDefault="00A947D5">
          <w:pPr>
            <w:pBdr>
              <w:top w:val="nil"/>
              <w:left w:val="nil"/>
              <w:bottom w:val="nil"/>
              <w:right w:val="nil"/>
              <w:between w:val="nil"/>
            </w:pBdr>
            <w:tabs>
              <w:tab w:val="right" w:leader="dot" w:pos="9984"/>
            </w:tabs>
            <w:spacing w:after="100" w:line="360" w:lineRule="auto"/>
            <w:rPr>
              <w:color w:val="000000"/>
            </w:rPr>
          </w:pPr>
          <w:hyperlink w:anchor="_heading=h.vtvwab7dnyxr">
            <w:r>
              <w:rPr>
                <w:color w:val="000000"/>
              </w:rPr>
              <w:t>8. Conclusion</w:t>
            </w:r>
            <w:r>
              <w:rPr>
                <w:color w:val="000000"/>
              </w:rPr>
              <w:tab/>
              <w:t>15</w:t>
            </w:r>
          </w:hyperlink>
        </w:p>
        <w:p w:rsidR="00BB7F11" w:rsidRDefault="00A947D5">
          <w:pPr>
            <w:pBdr>
              <w:top w:val="nil"/>
              <w:left w:val="nil"/>
              <w:bottom w:val="nil"/>
              <w:right w:val="nil"/>
              <w:between w:val="nil"/>
            </w:pBdr>
            <w:tabs>
              <w:tab w:val="right" w:leader="dot" w:pos="9984"/>
            </w:tabs>
            <w:spacing w:after="100" w:line="360" w:lineRule="auto"/>
            <w:rPr>
              <w:color w:val="000000"/>
            </w:rPr>
          </w:pPr>
          <w:hyperlink w:anchor="_heading=h.x8xlj0us3291">
            <w:r>
              <w:rPr>
                <w:color w:val="000000"/>
              </w:rPr>
              <w:t>References</w:t>
            </w:r>
            <w:r>
              <w:rPr>
                <w:color w:val="000000"/>
              </w:rPr>
              <w:tab/>
              <w:t>16</w:t>
            </w:r>
          </w:hyperlink>
        </w:p>
        <w:p w:rsidR="00BB7F11" w:rsidRDefault="00A947D5">
          <w:pPr>
            <w:pBdr>
              <w:top w:val="nil"/>
              <w:left w:val="nil"/>
              <w:bottom w:val="nil"/>
              <w:right w:val="nil"/>
              <w:between w:val="nil"/>
            </w:pBdr>
            <w:tabs>
              <w:tab w:val="right" w:leader="dot" w:pos="9984"/>
            </w:tabs>
            <w:spacing w:after="100" w:line="360" w:lineRule="auto"/>
            <w:rPr>
              <w:color w:val="000000"/>
            </w:rPr>
          </w:pPr>
          <w:hyperlink w:anchor="_heading=h.uudjt8v3z9oa">
            <w:r>
              <w:rPr>
                <w:color w:val="000000"/>
              </w:rPr>
              <w:t>Appendices</w:t>
            </w:r>
            <w:r>
              <w:rPr>
                <w:color w:val="000000"/>
              </w:rPr>
              <w:tab/>
              <w:t>18</w:t>
            </w:r>
          </w:hyperlink>
        </w:p>
        <w:p w:rsidR="00BB7F11" w:rsidRDefault="00A947D5">
          <w:pPr>
            <w:pBdr>
              <w:top w:val="nil"/>
              <w:left w:val="nil"/>
              <w:bottom w:val="nil"/>
              <w:right w:val="nil"/>
              <w:between w:val="nil"/>
            </w:pBdr>
            <w:tabs>
              <w:tab w:val="right" w:leader="dot" w:pos="9984"/>
            </w:tabs>
            <w:spacing w:after="100" w:line="360" w:lineRule="auto"/>
            <w:ind w:left="240"/>
            <w:rPr>
              <w:color w:val="000000"/>
            </w:rPr>
          </w:pPr>
          <w:hyperlink w:anchor="_heading=h.yk18jsgc38z7">
            <w:r>
              <w:rPr>
                <w:color w:val="000000"/>
              </w:rPr>
              <w:t>Appendix A. Full September 2024 forecast</w:t>
            </w:r>
            <w:r>
              <w:rPr>
                <w:color w:val="000000"/>
              </w:rPr>
              <w:tab/>
              <w:t>18</w:t>
            </w:r>
          </w:hyperlink>
        </w:p>
        <w:p w:rsidR="00BB7F11" w:rsidRDefault="00A947D5">
          <w:pPr>
            <w:spacing w:line="360" w:lineRule="auto"/>
          </w:pPr>
          <w:r>
            <w:fldChar w:fldCharType="end"/>
          </w:r>
        </w:p>
      </w:sdtContent>
    </w:sdt>
    <w:p w:rsidR="00BB7F11" w:rsidRDefault="00A947D5">
      <w:pPr>
        <w:spacing w:after="200" w:line="276" w:lineRule="auto"/>
        <w:jc w:val="left"/>
        <w:rPr>
          <w:b/>
          <w:bCs/>
          <w:sz w:val="28"/>
          <w:szCs w:val="28"/>
        </w:rPr>
      </w:pPr>
      <w:r>
        <w:br w:type="page"/>
      </w:r>
    </w:p>
    <w:p w:rsidR="00BB7F11" w:rsidRDefault="00A947D5">
      <w:pPr>
        <w:pStyle w:val="Heading1"/>
        <w:spacing w:line="360" w:lineRule="auto"/>
      </w:pPr>
      <w:bookmarkStart w:id="1" w:name="_heading=h.pxlz8fs3lmft" w:colFirst="0" w:colLast="0"/>
      <w:bookmarkEnd w:id="1"/>
      <w:r>
        <w:lastRenderedPageBreak/>
        <w:t>1. Introduction and decision context</w:t>
      </w:r>
    </w:p>
    <w:p w:rsidR="00BB7F11" w:rsidRDefault="00A947D5">
      <w:pPr>
        <w:spacing w:line="360" w:lineRule="auto"/>
      </w:pPr>
      <w:r>
        <w:t xml:space="preserve">Capital </w:t>
      </w:r>
      <w:proofErr w:type="spellStart"/>
      <w:r>
        <w:t>Bikeshare</w:t>
      </w:r>
      <w:proofErr w:type="spellEnd"/>
      <w:r>
        <w:t xml:space="preserve"> is the public bicycle-sharing system serving metropolitan Washington, DC. Its current network includes more than 5000 bicycles and approximately 600 stations across seven jurisdictions, and bikes can be hired and returned throughout the n</w:t>
      </w:r>
      <w:r>
        <w:t>etwork. The operator publishes monthly trip-history files for public analysis, including trip times and origin and destination stations. Demand is nevertheless difficult to manage because it varies by location, day, season and weather. Poor anticipation ca</w:t>
      </w:r>
      <w:r>
        <w:t xml:space="preserve">n create empty origin stations, full destination docks and avoidable vehicle rebalancing costs. This research project </w:t>
      </w:r>
      <w:proofErr w:type="spellStart"/>
      <w:r>
        <w:t>centres</w:t>
      </w:r>
      <w:proofErr w:type="spellEnd"/>
      <w:r>
        <w:t xml:space="preserve"> </w:t>
      </w:r>
      <w:proofErr w:type="gramStart"/>
      <w:r>
        <w:t>around</w:t>
      </w:r>
      <w:proofErr w:type="gramEnd"/>
      <w:r>
        <w:t xml:space="preserve"> the analysis of four different aspects. It starts with the analysis of the pattern and relationship associated with the bic</w:t>
      </w:r>
      <w:r>
        <w:t xml:space="preserve">ycle pickup demand on a day-to-day basis. Next, it assesses the prediction ability of two different models of prediction the clear linear regression model and the nonlinear decision tree to find out which model predicts better daily bicycle pickup demand. </w:t>
      </w:r>
      <w:r>
        <w:t>This project will also group bicycle stations into meaningful demand clusters through clustering algorithms to allow for different business decisions. It can develop a weather-assisted time series forecast model for bicycle demand prediction for 30 days ah</w:t>
      </w:r>
      <w:r>
        <w:t>ead.</w:t>
      </w:r>
    </w:p>
    <w:p w:rsidR="00BB7F11" w:rsidRDefault="00A947D5">
      <w:pPr>
        <w:pStyle w:val="Heading1"/>
        <w:spacing w:line="360" w:lineRule="auto"/>
      </w:pPr>
      <w:bookmarkStart w:id="2" w:name="_heading=h.26crggji29fa" w:colFirst="0" w:colLast="0"/>
      <w:bookmarkEnd w:id="2"/>
      <w:r>
        <w:t>2. Data Preparation and Analytical Design</w:t>
      </w:r>
    </w:p>
    <w:p w:rsidR="00BB7F11" w:rsidRDefault="00A947D5">
      <w:pPr>
        <w:pStyle w:val="Heading2"/>
        <w:spacing w:line="360" w:lineRule="auto"/>
      </w:pPr>
      <w:bookmarkStart w:id="3" w:name="_heading=h.l27p1idxs9vo" w:colFirst="0" w:colLast="0"/>
      <w:bookmarkEnd w:id="3"/>
      <w:r>
        <w:t>2.1 Data Sources and Structure</w:t>
      </w:r>
    </w:p>
    <w:p w:rsidR="00BB7F11" w:rsidRDefault="00A947D5">
      <w:pPr>
        <w:spacing w:line="360" w:lineRule="auto"/>
      </w:pPr>
      <w:r>
        <w:t xml:space="preserve">The main analytical file combines Capital </w:t>
      </w:r>
      <w:proofErr w:type="spellStart"/>
      <w:r>
        <w:t>Bikeshare</w:t>
      </w:r>
      <w:proofErr w:type="spellEnd"/>
      <w:r>
        <w:t xml:space="preserve"> activity with daily weather attributes for Washington, DC. Capital </w:t>
      </w:r>
      <w:proofErr w:type="spellStart"/>
      <w:r>
        <w:t>Bikeshare</w:t>
      </w:r>
      <w:proofErr w:type="spellEnd"/>
      <w:r>
        <w:t xml:space="preserve"> provides the underlying trip-history data, while </w:t>
      </w:r>
      <w:r>
        <w:t>the weather fields are consistent with the variables supplied through the Visual Crossing Timeline Weather API, which supports historical daily data with CSV outputs. The station-day file contains 873318 rows and 12 original columns. It includes numeric pi</w:t>
      </w:r>
      <w:r>
        <w:t>ckup and drop-off counts plus temperature, humidity, precipitation, wind speed, cloud cover, visibility and solar energy (Kaggle.com, 2024). Station name and conditions are qualitative fields. Day type, season and simplified weather group were subsequently</w:t>
      </w:r>
      <w:r>
        <w:t xml:space="preserve"> engineered, thereby providing more than three numeric and three categorical variables for analysis. A second dataset was derived by summing pickups and drop-offs by date. It contains 1584 unique daily records from 1 May 2020 through 31 August 2024, well a</w:t>
      </w:r>
      <w:r>
        <w:t xml:space="preserve">bove the two-year requirement. The date index has no missing values or duplicate dates. Daily pickups averaged 9240.23 (SD 4151.60), ranging from 450 to 20504 and daily drop-offs averaged 9127.91 (SD 4131.03). Both datasets still pertain to the same </w:t>
      </w:r>
      <w:proofErr w:type="spellStart"/>
      <w:r>
        <w:t>organi</w:t>
      </w:r>
      <w:r>
        <w:t>sation</w:t>
      </w:r>
      <w:proofErr w:type="spellEnd"/>
      <w:r>
        <w:t xml:space="preserve"> and process. The unit of analysis was deliberately varied for the purpose of making other kinds of decisions (</w:t>
      </w:r>
      <w:proofErr w:type="spellStart"/>
      <w:r>
        <w:t>Biswas</w:t>
      </w:r>
      <w:proofErr w:type="spellEnd"/>
      <w:r>
        <w:t xml:space="preserve"> et al., 2025). Station-day data retains the regional variation in demand and allows profiling of stations and clusters of stations. </w:t>
      </w:r>
      <w:r>
        <w:t xml:space="preserve">Day-level system data eliminates redundant </w:t>
      </w:r>
      <w:r>
        <w:lastRenderedPageBreak/>
        <w:t>weather information from different stations and provides the appropriate unit for regression at the level of the whole system. The use of these units prevents th</w:t>
      </w:r>
      <w:r w:rsidR="002F008C">
        <w:t xml:space="preserve">e problem of </w:t>
      </w:r>
      <w:proofErr w:type="spellStart"/>
      <w:r w:rsidR="002F008C">
        <w:t>pseudoreplication</w:t>
      </w:r>
      <w:proofErr w:type="spellEnd"/>
      <w:r w:rsidR="002F008C">
        <w:t xml:space="preserve"> in </w:t>
      </w:r>
      <w:r>
        <w:t xml:space="preserve">Hundreds of similar </w:t>
      </w:r>
      <w:r>
        <w:t>weather measures per day could make the sample too precise.</w:t>
      </w:r>
    </w:p>
    <w:p w:rsidR="00BB7F11" w:rsidRDefault="00A947D5">
      <w:pPr>
        <w:pStyle w:val="Heading2"/>
        <w:spacing w:line="360" w:lineRule="auto"/>
      </w:pPr>
      <w:bookmarkStart w:id="4" w:name="_heading=h.vt7rmi2dq6m8" w:colFirst="0" w:colLast="0"/>
      <w:bookmarkEnd w:id="4"/>
      <w:r>
        <w:t>2.2 Pre-processing and validation</w:t>
      </w:r>
    </w:p>
    <w:p w:rsidR="00BB7F11" w:rsidRDefault="00A947D5">
      <w:pPr>
        <w:spacing w:line="360" w:lineRule="auto"/>
      </w:pPr>
      <w:r>
        <w:t xml:space="preserve">Dates were transformed to the </w:t>
      </w:r>
      <w:proofErr w:type="spellStart"/>
      <w:r>
        <w:t>datetime</w:t>
      </w:r>
      <w:proofErr w:type="spellEnd"/>
      <w:r>
        <w:t xml:space="preserve"> type and ordered chronologically. Numerical variables were checked, and the notebook reported that all original columns have zero missing values. Duplicate dates were deleted when forming the model tables for daily an</w:t>
      </w:r>
      <w:r>
        <w:t xml:space="preserve">alysis, and aggregation was done by one value of weather conditions per date because weather conditions are duplicated by stations. Calendar features included month, day of week, weekend, and time trend. Weather conditions were aggregated into operational </w:t>
      </w:r>
      <w:r>
        <w:t>groups, and station observations were aggregated into one observation per station-date before clustering. As for K-means, feature variables were scaled due to the sensitivity of Euclidean distance to the scale (Ismael, 2025). The number of days when statio</w:t>
      </w:r>
      <w:r>
        <w:t xml:space="preserve">n observations should take place was not less than 1267 out of 1584 days, which excludes relatively new stations with sparse data. Prediction was done with chronological splitting into train-test sets, where train part contains 1267 days and the test part </w:t>
      </w:r>
      <w:r>
        <w:t xml:space="preserve">317 days. Pre-processing was applied only on the train sample. This guarantees maintaining temporal order and </w:t>
      </w:r>
      <w:proofErr w:type="spellStart"/>
      <w:r>
        <w:t>minimising</w:t>
      </w:r>
      <w:proofErr w:type="spellEnd"/>
      <w:r>
        <w:t xml:space="preserve"> information leakage. Model performance metrics included MAE, RMSE and R². The primary selection metric was RMSE, which stays in the sam</w:t>
      </w:r>
      <w:r>
        <w:t xml:space="preserve">e units of daily pickups and </w:t>
      </w:r>
      <w:proofErr w:type="spellStart"/>
      <w:r>
        <w:t>penalises</w:t>
      </w:r>
      <w:proofErr w:type="spellEnd"/>
      <w:r>
        <w:t xml:space="preserve"> large operational errors (Ho et al., 2022).</w:t>
      </w:r>
    </w:p>
    <w:p w:rsidR="00BB7F11" w:rsidRDefault="00A947D5">
      <w:pPr>
        <w:pStyle w:val="Heading1"/>
      </w:pPr>
      <w:bookmarkStart w:id="5" w:name="_heading=h.r1r63vj1rkqq" w:colFirst="0" w:colLast="0"/>
      <w:bookmarkEnd w:id="5"/>
      <w:r>
        <w:t>3. Exploratory data analysis</w:t>
      </w:r>
    </w:p>
    <w:p w:rsidR="00BB7F11" w:rsidRDefault="00A947D5">
      <w:pPr>
        <w:spacing w:line="360" w:lineRule="auto"/>
      </w:pPr>
      <w:r>
        <w:t>The demand pattern demonstrates an obvious upward trend and cyclicality throughout every year. There is a 30-day moving average with valleys for</w:t>
      </w:r>
      <w:r>
        <w:t xml:space="preserve">med in winter and recovery through spring with higher and higher peaks after 2020. Average monthly demand grows from 4764 rides in January to 11636 rides in July and then declines in autumn. The seasonally aggregated data is as follows summer 11524 rides, </w:t>
      </w:r>
      <w:r>
        <w:t>autumn 9700 rides, spring 9656 rides, and winter 5407 rides. Pickup and drop-off profiles are almost parallel, suggesting broadly balanced system-level flows even though individual stations may experience local imbalance.</w:t>
      </w:r>
    </w:p>
    <w:p w:rsidR="00BB7F11" w:rsidRDefault="00A947D5">
      <w:pPr>
        <w:spacing w:line="360" w:lineRule="auto"/>
        <w:jc w:val="center"/>
      </w:pPr>
      <w:r>
        <w:rPr>
          <w:noProof/>
          <w:lang w:val="en-IN"/>
        </w:rPr>
        <w:lastRenderedPageBreak/>
        <w:drawing>
          <wp:inline distT="0" distB="0" distL="0" distR="0">
            <wp:extent cx="4636074" cy="2300491"/>
            <wp:effectExtent l="0" t="0" r="0" b="0"/>
            <wp:docPr id="1" name="image2.png" descr="Figure 1. Average daily Capital Bikeshare pickups and drop-offs by month. Source: author’s analysis."/>
            <wp:cNvGraphicFramePr/>
            <a:graphic xmlns:a="http://schemas.openxmlformats.org/drawingml/2006/main">
              <a:graphicData uri="http://schemas.openxmlformats.org/drawingml/2006/picture">
                <pic:pic xmlns:pic="http://schemas.openxmlformats.org/drawingml/2006/picture">
                  <pic:nvPicPr>
                    <pic:cNvPr id="0" name="image2.png" descr="Figure 1. Average daily Capital Bikeshare pickups and drop-offs by month. Source: author’s analysis."/>
                    <pic:cNvPicPr preferRelativeResize="0"/>
                  </pic:nvPicPr>
                  <pic:blipFill>
                    <a:blip r:embed="rId9"/>
                    <a:srcRect/>
                    <a:stretch>
                      <a:fillRect/>
                    </a:stretch>
                  </pic:blipFill>
                  <pic:spPr>
                    <a:xfrm>
                      <a:off x="0" y="0"/>
                      <a:ext cx="4636074" cy="2300491"/>
                    </a:xfrm>
                    <a:prstGeom prst="rect">
                      <a:avLst/>
                    </a:prstGeom>
                    <a:ln/>
                  </pic:spPr>
                </pic:pic>
              </a:graphicData>
            </a:graphic>
          </wp:inline>
        </w:drawing>
      </w:r>
    </w:p>
    <w:p w:rsidR="00BB7F11" w:rsidRDefault="00A947D5">
      <w:pPr>
        <w:spacing w:line="360" w:lineRule="auto"/>
        <w:jc w:val="center"/>
        <w:rPr>
          <w:b/>
          <w:bCs/>
        </w:rPr>
      </w:pPr>
      <w:r>
        <w:rPr>
          <w:b/>
          <w:bCs/>
        </w:rPr>
        <w:t xml:space="preserve">Figure 1: Average Daily Capital </w:t>
      </w:r>
      <w:proofErr w:type="spellStart"/>
      <w:r>
        <w:rPr>
          <w:b/>
          <w:bCs/>
        </w:rPr>
        <w:t>Bikeshare</w:t>
      </w:r>
      <w:proofErr w:type="spellEnd"/>
      <w:r>
        <w:rPr>
          <w:b/>
          <w:bCs/>
        </w:rPr>
        <w:t xml:space="preserve"> Pickups and Drop-Offs by Month</w:t>
      </w:r>
    </w:p>
    <w:p w:rsidR="002F008C" w:rsidRPr="002F008C" w:rsidRDefault="002F008C" w:rsidP="002F008C">
      <w:pPr>
        <w:spacing w:line="360" w:lineRule="auto"/>
        <w:rPr>
          <w:bCs/>
        </w:rPr>
      </w:pPr>
      <w:r w:rsidRPr="002F008C">
        <w:rPr>
          <w:bCs/>
        </w:rPr>
        <w:t xml:space="preserve">Weather relationships were directionally plausible, and daily pickups correlated positively with temperature (r = 0.582), solar energy (r = 0.565) and visibility (r = 0.277). But daily pickups correlated negatively with precipitation (r = </w:t>
      </w:r>
      <w:bookmarkStart w:id="6" w:name="_GoBack"/>
      <w:bookmarkEnd w:id="6"/>
      <w:r w:rsidRPr="002F008C">
        <w:rPr>
          <w:bCs/>
        </w:rPr>
        <w:t>−0.255), cloud cover (r = − 0.185), wind speed (r = −0.168) and humidity (r = −0.130). These are associations rather than causal effects, and several weather variables are interrelated. For example, humidity correlates with cloud cover and precipitation. However, variance-inflation factors for the seven weather predictors were modest from 1.20 to 2.61. Boxplots additionally showed higher system pickups on weekends and markedly lower winter activity. These findings motivated the inclusion of weather, calendar indicators and a time trend in predictive models, plus weekly seasonality and exogenous weather in time-series forecasting. Station-level counts were far more dispersed than daily system totals: the raw station-day pickup distribution had a mean of 16.76, median of 8 and maximum of 444. Right skew is evident from the median value which is lower than the mean. This is due to the high demand from a few stations with a few days of peak periods. Right skew justified the use of a segmentation strategy that considered not only the average but also variability and maximum demand</w:t>
      </w:r>
      <w:r>
        <w:rPr>
          <w:bCs/>
        </w:rPr>
        <w:t>.</w:t>
      </w:r>
    </w:p>
    <w:p w:rsidR="002F008C" w:rsidRDefault="002F008C">
      <w:pPr>
        <w:spacing w:line="360" w:lineRule="auto"/>
        <w:jc w:val="center"/>
        <w:rPr>
          <w:b/>
          <w:bCs/>
        </w:rPr>
      </w:pPr>
    </w:p>
    <w:p w:rsidR="00BB7F11" w:rsidRDefault="00A947D5">
      <w:pPr>
        <w:spacing w:line="360" w:lineRule="auto"/>
        <w:jc w:val="center"/>
      </w:pPr>
      <w:r>
        <w:rPr>
          <w:noProof/>
          <w:lang w:val="en-IN"/>
        </w:rPr>
        <w:lastRenderedPageBreak/>
        <w:drawing>
          <wp:inline distT="0" distB="0" distL="0" distR="0">
            <wp:extent cx="5394960" cy="3985570"/>
            <wp:effectExtent l="0" t="0" r="0" b="0"/>
            <wp:docPr id="3" name="image5.png" descr="Figure 2. Correlation matrix for daily pickups and weather variables. Source: author’s analysis."/>
            <wp:cNvGraphicFramePr/>
            <a:graphic xmlns:a="http://schemas.openxmlformats.org/drawingml/2006/main">
              <a:graphicData uri="http://schemas.openxmlformats.org/drawingml/2006/picture">
                <pic:pic xmlns:pic="http://schemas.openxmlformats.org/drawingml/2006/picture">
                  <pic:nvPicPr>
                    <pic:cNvPr id="0" name="image5.png" descr="Figure 2. Correlation matrix for daily pickups and weather variables. Source: author’s analysis."/>
                    <pic:cNvPicPr preferRelativeResize="0"/>
                  </pic:nvPicPr>
                  <pic:blipFill>
                    <a:blip r:embed="rId10"/>
                    <a:srcRect/>
                    <a:stretch>
                      <a:fillRect/>
                    </a:stretch>
                  </pic:blipFill>
                  <pic:spPr>
                    <a:xfrm>
                      <a:off x="0" y="0"/>
                      <a:ext cx="5394960" cy="3985570"/>
                    </a:xfrm>
                    <a:prstGeom prst="rect">
                      <a:avLst/>
                    </a:prstGeom>
                    <a:ln/>
                  </pic:spPr>
                </pic:pic>
              </a:graphicData>
            </a:graphic>
          </wp:inline>
        </w:drawing>
      </w:r>
    </w:p>
    <w:p w:rsidR="00BB7F11" w:rsidRDefault="00A947D5">
      <w:pPr>
        <w:spacing w:line="360" w:lineRule="auto"/>
        <w:jc w:val="center"/>
        <w:rPr>
          <w:b/>
          <w:bCs/>
        </w:rPr>
      </w:pPr>
      <w:r>
        <w:rPr>
          <w:b/>
          <w:bCs/>
        </w:rPr>
        <w:t>Figure 2: Correlation Matrix for Daily Pickups and Weather Variables</w:t>
      </w:r>
    </w:p>
    <w:p w:rsidR="00BB7F11" w:rsidRDefault="00A947D5">
      <w:pPr>
        <w:pStyle w:val="Heading1"/>
      </w:pPr>
      <w:bookmarkStart w:id="7" w:name="_heading=h.9e1kvg47v5wf" w:colFirst="0" w:colLast="0"/>
      <w:bookmarkEnd w:id="7"/>
      <w:r>
        <w:t>4</w:t>
      </w:r>
      <w:r>
        <w:t>. Prediction: Regression and Decision Trees</w:t>
      </w:r>
    </w:p>
    <w:p w:rsidR="00BB7F11" w:rsidRDefault="00A947D5">
      <w:pPr>
        <w:pStyle w:val="Heading2"/>
      </w:pPr>
      <w:bookmarkStart w:id="8" w:name="_heading=h.abl56uyjgv8" w:colFirst="0" w:colLast="0"/>
      <w:bookmarkEnd w:id="8"/>
      <w:r>
        <w:t>4.1 Model rationale and implementation</w:t>
      </w:r>
    </w:p>
    <w:p w:rsidR="00BB7F11" w:rsidRDefault="00A947D5">
      <w:pPr>
        <w:spacing w:line="360" w:lineRule="auto"/>
      </w:pPr>
      <w:r>
        <w:t>The p</w:t>
      </w:r>
      <w:r>
        <w:t>redictive decision goal was to estimate total daily pickups early enough to support system-wide staffing and bicycle rebalancing. Linear regression was selected as an interpretable baseline, while decision-tree regression was used to test whether threshold</w:t>
      </w:r>
      <w:r>
        <w:t xml:space="preserve"> effects and nonlinear interactions produced better </w:t>
      </w:r>
      <w:proofErr w:type="spellStart"/>
      <w:r>
        <w:t>generalisation</w:t>
      </w:r>
      <w:proofErr w:type="spellEnd"/>
      <w:r>
        <w:t>. Both approaches used exactly the same 1584 daily observations, target and chronological holdout period. Predictors comprised seven weather variables, time trend, month and day of week. Num</w:t>
      </w:r>
      <w:r>
        <w:t>eric variables were median-imputed and scaled for linear regression categorical variables were imputed. Decision trees used maximum depths of 3, 5 and 8 with a minimum of 20 observations per terminal leaf (</w:t>
      </w:r>
      <w:proofErr w:type="spellStart"/>
      <w:r>
        <w:rPr>
          <w:color w:val="222222"/>
          <w:highlight w:val="white"/>
        </w:rPr>
        <w:t>Assegie</w:t>
      </w:r>
      <w:proofErr w:type="spellEnd"/>
      <w:r>
        <w:rPr>
          <w:color w:val="222222"/>
          <w:highlight w:val="white"/>
        </w:rPr>
        <w:t xml:space="preserve"> and </w:t>
      </w:r>
      <w:proofErr w:type="spellStart"/>
      <w:r>
        <w:rPr>
          <w:color w:val="222222"/>
          <w:highlight w:val="white"/>
        </w:rPr>
        <w:t>Elaraby</w:t>
      </w:r>
      <w:proofErr w:type="spellEnd"/>
      <w:r>
        <w:rPr>
          <w:color w:val="222222"/>
          <w:highlight w:val="white"/>
        </w:rPr>
        <w:t>, 2023</w:t>
      </w:r>
      <w:r>
        <w:t>). Controlling depth redu</w:t>
      </w:r>
      <w:r>
        <w:t xml:space="preserve">ces </w:t>
      </w:r>
      <w:proofErr w:type="spellStart"/>
      <w:r>
        <w:t>overfitting</w:t>
      </w:r>
      <w:proofErr w:type="spellEnd"/>
      <w:r>
        <w:t xml:space="preserve"> while testing three values satisfies the </w:t>
      </w:r>
      <w:proofErr w:type="spellStart"/>
      <w:r>
        <w:t>hyperparameter</w:t>
      </w:r>
      <w:proofErr w:type="spellEnd"/>
      <w:r>
        <w:t xml:space="preserve"> comparison requirement.</w:t>
      </w:r>
    </w:p>
    <w:p w:rsidR="00BB7F11" w:rsidRDefault="00A947D5">
      <w:pPr>
        <w:pStyle w:val="Heading2"/>
        <w:spacing w:line="360" w:lineRule="auto"/>
      </w:pPr>
      <w:bookmarkStart w:id="9" w:name="_heading=h.73099fmbjdms" w:colFirst="0" w:colLast="0"/>
      <w:bookmarkEnd w:id="9"/>
      <w:r>
        <w:t>4.2 Results and interpretation</w:t>
      </w:r>
    </w:p>
    <w:tbl>
      <w:tblPr>
        <w:tblStyle w:val="a"/>
        <w:tblW w:w="885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84"/>
        <w:gridCol w:w="1512"/>
        <w:gridCol w:w="1512"/>
        <w:gridCol w:w="1512"/>
        <w:gridCol w:w="936"/>
      </w:tblGrid>
      <w:tr w:rsidR="00BB7F11">
        <w:trPr>
          <w:jc w:val="center"/>
        </w:trPr>
        <w:tc>
          <w:tcPr>
            <w:tcW w:w="3384" w:type="dxa"/>
          </w:tcPr>
          <w:p w:rsidR="00BB7F11" w:rsidRDefault="00A947D5">
            <w:pPr>
              <w:spacing w:line="360" w:lineRule="auto"/>
              <w:rPr>
                <w:b/>
                <w:bCs/>
              </w:rPr>
            </w:pPr>
            <w:r>
              <w:rPr>
                <w:b/>
                <w:bCs/>
              </w:rPr>
              <w:t>Model</w:t>
            </w:r>
          </w:p>
        </w:tc>
        <w:tc>
          <w:tcPr>
            <w:tcW w:w="1512" w:type="dxa"/>
          </w:tcPr>
          <w:p w:rsidR="00BB7F11" w:rsidRDefault="00A947D5">
            <w:pPr>
              <w:spacing w:line="360" w:lineRule="auto"/>
              <w:rPr>
                <w:b/>
                <w:bCs/>
              </w:rPr>
            </w:pPr>
            <w:r>
              <w:rPr>
                <w:b/>
                <w:bCs/>
              </w:rPr>
              <w:t>MAE</w:t>
            </w:r>
          </w:p>
        </w:tc>
        <w:tc>
          <w:tcPr>
            <w:tcW w:w="1512" w:type="dxa"/>
          </w:tcPr>
          <w:p w:rsidR="00BB7F11" w:rsidRDefault="00A947D5">
            <w:pPr>
              <w:spacing w:line="360" w:lineRule="auto"/>
              <w:rPr>
                <w:b/>
                <w:bCs/>
              </w:rPr>
            </w:pPr>
            <w:r>
              <w:rPr>
                <w:b/>
                <w:bCs/>
              </w:rPr>
              <w:t>RMSE</w:t>
            </w:r>
          </w:p>
        </w:tc>
        <w:tc>
          <w:tcPr>
            <w:tcW w:w="1512" w:type="dxa"/>
          </w:tcPr>
          <w:p w:rsidR="00BB7F11" w:rsidRDefault="00A947D5">
            <w:pPr>
              <w:spacing w:line="360" w:lineRule="auto"/>
              <w:rPr>
                <w:b/>
                <w:bCs/>
              </w:rPr>
            </w:pPr>
            <w:r>
              <w:rPr>
                <w:b/>
                <w:bCs/>
              </w:rPr>
              <w:t>Test R²</w:t>
            </w:r>
          </w:p>
        </w:tc>
        <w:tc>
          <w:tcPr>
            <w:tcW w:w="936" w:type="dxa"/>
          </w:tcPr>
          <w:p w:rsidR="00BB7F11" w:rsidRDefault="00A947D5">
            <w:pPr>
              <w:spacing w:line="360" w:lineRule="auto"/>
              <w:rPr>
                <w:b/>
                <w:bCs/>
              </w:rPr>
            </w:pPr>
            <w:r>
              <w:rPr>
                <w:b/>
                <w:bCs/>
              </w:rPr>
              <w:t>Rank</w:t>
            </w:r>
          </w:p>
        </w:tc>
      </w:tr>
      <w:tr w:rsidR="00BB7F11">
        <w:trPr>
          <w:jc w:val="center"/>
        </w:trPr>
        <w:tc>
          <w:tcPr>
            <w:tcW w:w="3384" w:type="dxa"/>
          </w:tcPr>
          <w:p w:rsidR="00BB7F11" w:rsidRDefault="00A947D5">
            <w:pPr>
              <w:spacing w:line="360" w:lineRule="auto"/>
            </w:pPr>
            <w:r>
              <w:t>Linear regression</w:t>
            </w:r>
          </w:p>
        </w:tc>
        <w:tc>
          <w:tcPr>
            <w:tcW w:w="1512" w:type="dxa"/>
          </w:tcPr>
          <w:p w:rsidR="00BB7F11" w:rsidRDefault="00A947D5">
            <w:pPr>
              <w:spacing w:line="360" w:lineRule="auto"/>
            </w:pPr>
            <w:r>
              <w:t>1467.42</w:t>
            </w:r>
          </w:p>
        </w:tc>
        <w:tc>
          <w:tcPr>
            <w:tcW w:w="1512" w:type="dxa"/>
          </w:tcPr>
          <w:p w:rsidR="00BB7F11" w:rsidRDefault="00A947D5">
            <w:pPr>
              <w:spacing w:line="360" w:lineRule="auto"/>
            </w:pPr>
            <w:r>
              <w:t>1955.57</w:t>
            </w:r>
          </w:p>
        </w:tc>
        <w:tc>
          <w:tcPr>
            <w:tcW w:w="1512" w:type="dxa"/>
          </w:tcPr>
          <w:p w:rsidR="00BB7F11" w:rsidRDefault="00A947D5">
            <w:pPr>
              <w:spacing w:line="360" w:lineRule="auto"/>
            </w:pPr>
            <w:r>
              <w:t>0.778</w:t>
            </w:r>
          </w:p>
        </w:tc>
        <w:tc>
          <w:tcPr>
            <w:tcW w:w="936" w:type="dxa"/>
          </w:tcPr>
          <w:p w:rsidR="00BB7F11" w:rsidRDefault="00A947D5">
            <w:pPr>
              <w:spacing w:line="360" w:lineRule="auto"/>
            </w:pPr>
            <w:r>
              <w:t>1</w:t>
            </w:r>
          </w:p>
        </w:tc>
      </w:tr>
      <w:tr w:rsidR="00BB7F11">
        <w:trPr>
          <w:jc w:val="center"/>
        </w:trPr>
        <w:tc>
          <w:tcPr>
            <w:tcW w:w="3384" w:type="dxa"/>
          </w:tcPr>
          <w:p w:rsidR="00BB7F11" w:rsidRDefault="00A947D5">
            <w:pPr>
              <w:spacing w:line="360" w:lineRule="auto"/>
            </w:pPr>
            <w:r>
              <w:lastRenderedPageBreak/>
              <w:t>Decision tree (depth 8)</w:t>
            </w:r>
          </w:p>
        </w:tc>
        <w:tc>
          <w:tcPr>
            <w:tcW w:w="1512" w:type="dxa"/>
          </w:tcPr>
          <w:p w:rsidR="00BB7F11" w:rsidRDefault="00A947D5">
            <w:pPr>
              <w:spacing w:line="360" w:lineRule="auto"/>
            </w:pPr>
            <w:r>
              <w:t>2220.08</w:t>
            </w:r>
          </w:p>
        </w:tc>
        <w:tc>
          <w:tcPr>
            <w:tcW w:w="1512" w:type="dxa"/>
          </w:tcPr>
          <w:p w:rsidR="00BB7F11" w:rsidRDefault="00A947D5">
            <w:pPr>
              <w:spacing w:line="360" w:lineRule="auto"/>
            </w:pPr>
            <w:r>
              <w:t>2690.50</w:t>
            </w:r>
          </w:p>
        </w:tc>
        <w:tc>
          <w:tcPr>
            <w:tcW w:w="1512" w:type="dxa"/>
          </w:tcPr>
          <w:p w:rsidR="00BB7F11" w:rsidRDefault="00A947D5">
            <w:pPr>
              <w:spacing w:line="360" w:lineRule="auto"/>
            </w:pPr>
            <w:r>
              <w:t>0.580</w:t>
            </w:r>
          </w:p>
        </w:tc>
        <w:tc>
          <w:tcPr>
            <w:tcW w:w="936" w:type="dxa"/>
          </w:tcPr>
          <w:p w:rsidR="00BB7F11" w:rsidRDefault="00A947D5">
            <w:pPr>
              <w:spacing w:line="360" w:lineRule="auto"/>
            </w:pPr>
            <w:r>
              <w:t>2</w:t>
            </w:r>
          </w:p>
        </w:tc>
      </w:tr>
      <w:tr w:rsidR="00BB7F11">
        <w:trPr>
          <w:jc w:val="center"/>
        </w:trPr>
        <w:tc>
          <w:tcPr>
            <w:tcW w:w="3384" w:type="dxa"/>
          </w:tcPr>
          <w:p w:rsidR="00BB7F11" w:rsidRDefault="00A947D5">
            <w:pPr>
              <w:spacing w:line="360" w:lineRule="auto"/>
            </w:pPr>
            <w:r>
              <w:t>Decision tree (depth 5)</w:t>
            </w:r>
          </w:p>
        </w:tc>
        <w:tc>
          <w:tcPr>
            <w:tcW w:w="1512" w:type="dxa"/>
          </w:tcPr>
          <w:p w:rsidR="00BB7F11" w:rsidRDefault="00A947D5">
            <w:pPr>
              <w:spacing w:line="360" w:lineRule="auto"/>
            </w:pPr>
            <w:r>
              <w:t>2274.27</w:t>
            </w:r>
          </w:p>
        </w:tc>
        <w:tc>
          <w:tcPr>
            <w:tcW w:w="1512" w:type="dxa"/>
          </w:tcPr>
          <w:p w:rsidR="00BB7F11" w:rsidRDefault="00A947D5">
            <w:pPr>
              <w:spacing w:line="360" w:lineRule="auto"/>
            </w:pPr>
            <w:r>
              <w:t>2779.13</w:t>
            </w:r>
          </w:p>
        </w:tc>
        <w:tc>
          <w:tcPr>
            <w:tcW w:w="1512" w:type="dxa"/>
          </w:tcPr>
          <w:p w:rsidR="00BB7F11" w:rsidRDefault="00A947D5">
            <w:pPr>
              <w:spacing w:line="360" w:lineRule="auto"/>
            </w:pPr>
            <w:r>
              <w:t>0.552</w:t>
            </w:r>
          </w:p>
        </w:tc>
        <w:tc>
          <w:tcPr>
            <w:tcW w:w="936" w:type="dxa"/>
          </w:tcPr>
          <w:p w:rsidR="00BB7F11" w:rsidRDefault="00A947D5">
            <w:pPr>
              <w:spacing w:line="360" w:lineRule="auto"/>
            </w:pPr>
            <w:r>
              <w:t>3</w:t>
            </w:r>
          </w:p>
        </w:tc>
      </w:tr>
      <w:tr w:rsidR="00BB7F11">
        <w:trPr>
          <w:jc w:val="center"/>
        </w:trPr>
        <w:tc>
          <w:tcPr>
            <w:tcW w:w="3384" w:type="dxa"/>
          </w:tcPr>
          <w:p w:rsidR="00BB7F11" w:rsidRDefault="00A947D5">
            <w:pPr>
              <w:spacing w:line="360" w:lineRule="auto"/>
            </w:pPr>
            <w:r>
              <w:t>Decision tree (depth 3)</w:t>
            </w:r>
          </w:p>
        </w:tc>
        <w:tc>
          <w:tcPr>
            <w:tcW w:w="1512" w:type="dxa"/>
          </w:tcPr>
          <w:p w:rsidR="00BB7F11" w:rsidRDefault="00A947D5">
            <w:pPr>
              <w:spacing w:line="360" w:lineRule="auto"/>
            </w:pPr>
            <w:r>
              <w:t>2755.04</w:t>
            </w:r>
          </w:p>
        </w:tc>
        <w:tc>
          <w:tcPr>
            <w:tcW w:w="1512" w:type="dxa"/>
          </w:tcPr>
          <w:p w:rsidR="00BB7F11" w:rsidRDefault="00A947D5">
            <w:pPr>
              <w:spacing w:line="360" w:lineRule="auto"/>
            </w:pPr>
            <w:r>
              <w:t>3253.73</w:t>
            </w:r>
          </w:p>
        </w:tc>
        <w:tc>
          <w:tcPr>
            <w:tcW w:w="1512" w:type="dxa"/>
          </w:tcPr>
          <w:p w:rsidR="00BB7F11" w:rsidRDefault="00A947D5">
            <w:pPr>
              <w:spacing w:line="360" w:lineRule="auto"/>
            </w:pPr>
            <w:r>
              <w:t>0.386</w:t>
            </w:r>
          </w:p>
        </w:tc>
        <w:tc>
          <w:tcPr>
            <w:tcW w:w="936" w:type="dxa"/>
          </w:tcPr>
          <w:p w:rsidR="00BB7F11" w:rsidRDefault="00A947D5">
            <w:pPr>
              <w:spacing w:line="360" w:lineRule="auto"/>
            </w:pPr>
            <w:r>
              <w:t>4</w:t>
            </w:r>
          </w:p>
        </w:tc>
      </w:tr>
    </w:tbl>
    <w:p w:rsidR="00BB7F11" w:rsidRDefault="00A947D5">
      <w:pPr>
        <w:spacing w:line="360" w:lineRule="auto"/>
        <w:jc w:val="center"/>
        <w:rPr>
          <w:b/>
          <w:bCs/>
        </w:rPr>
      </w:pPr>
      <w:r>
        <w:rPr>
          <w:b/>
          <w:bCs/>
        </w:rPr>
        <w:t>Table 1: Regression and Decision Tree Model Performance Comparison</w:t>
      </w:r>
    </w:p>
    <w:p w:rsidR="00BB7F11" w:rsidRDefault="00A947D5">
      <w:pPr>
        <w:spacing w:line="360" w:lineRule="auto"/>
      </w:pPr>
      <w:r>
        <w:t xml:space="preserve">Linear regression performed best that reduce RMSE by 734.93 pickups relative to the strongest tree and explaining 77.8 per </w:t>
      </w:r>
      <w:proofErr w:type="spellStart"/>
      <w:r>
        <w:t>cen</w:t>
      </w:r>
      <w:proofErr w:type="spellEnd"/>
      <w:r>
        <w:t xml:space="preserve"> of variation in unseen daily demand. Within the tree family, depth 8 was best and progressively shallower trees </w:t>
      </w:r>
      <w:proofErr w:type="spellStart"/>
      <w:r>
        <w:t>underfit</w:t>
      </w:r>
      <w:proofErr w:type="spellEnd"/>
      <w:r>
        <w:t xml:space="preserve"> the tren</w:t>
      </w:r>
      <w:r>
        <w:t xml:space="preserve">d and seasonal structure. The result indicates at daily system level, a stable additive relationship among weather, calendar effects and long-term growth </w:t>
      </w:r>
      <w:proofErr w:type="spellStart"/>
      <w:r>
        <w:t>generalised</w:t>
      </w:r>
      <w:proofErr w:type="spellEnd"/>
      <w:r>
        <w:t xml:space="preserve"> better than the tested tree thresholds (</w:t>
      </w:r>
      <w:proofErr w:type="spellStart"/>
      <w:r>
        <w:rPr>
          <w:color w:val="222222"/>
          <w:highlight w:val="white"/>
        </w:rPr>
        <w:t>Bobirovich</w:t>
      </w:r>
      <w:proofErr w:type="spellEnd"/>
      <w:r>
        <w:rPr>
          <w:color w:val="222222"/>
          <w:highlight w:val="white"/>
        </w:rPr>
        <w:t>, 2022</w:t>
      </w:r>
      <w:r>
        <w:t>). Consequently, linear regression</w:t>
      </w:r>
      <w:r>
        <w:t xml:space="preserve"> is recommended for routine daily-demand prediction with the tree retained as a nonlinear benchmark.</w:t>
      </w:r>
    </w:p>
    <w:p w:rsidR="00BB7F11" w:rsidRDefault="00A947D5">
      <w:pPr>
        <w:spacing w:line="360" w:lineRule="auto"/>
      </w:pPr>
      <w:r>
        <w:rPr>
          <w:noProof/>
          <w:lang w:val="en-IN"/>
        </w:rPr>
        <w:drawing>
          <wp:inline distT="0" distB="0" distL="0" distR="0">
            <wp:extent cx="6035040" cy="2313904"/>
            <wp:effectExtent l="0" t="0" r="0" b="0"/>
            <wp:docPr id="2" name="image1.png" descr="Figure 3. Fair out-of-sample comparison of linear regression and decision-tree models. Source: author’s analysis."/>
            <wp:cNvGraphicFramePr/>
            <a:graphic xmlns:a="http://schemas.openxmlformats.org/drawingml/2006/main">
              <a:graphicData uri="http://schemas.openxmlformats.org/drawingml/2006/picture">
                <pic:pic xmlns:pic="http://schemas.openxmlformats.org/drawingml/2006/picture">
                  <pic:nvPicPr>
                    <pic:cNvPr id="0" name="image1.png" descr="Figure 3. Fair out-of-sample comparison of linear regression and decision-tree models. Source: author’s analysis."/>
                    <pic:cNvPicPr preferRelativeResize="0"/>
                  </pic:nvPicPr>
                  <pic:blipFill>
                    <a:blip r:embed="rId11"/>
                    <a:srcRect/>
                    <a:stretch>
                      <a:fillRect/>
                    </a:stretch>
                  </pic:blipFill>
                  <pic:spPr>
                    <a:xfrm>
                      <a:off x="0" y="0"/>
                      <a:ext cx="6035040" cy="2313904"/>
                    </a:xfrm>
                    <a:prstGeom prst="rect">
                      <a:avLst/>
                    </a:prstGeom>
                    <a:ln/>
                  </pic:spPr>
                </pic:pic>
              </a:graphicData>
            </a:graphic>
          </wp:inline>
        </w:drawing>
      </w:r>
    </w:p>
    <w:p w:rsidR="00BB7F11" w:rsidRDefault="00A947D5">
      <w:pPr>
        <w:spacing w:line="360" w:lineRule="auto"/>
        <w:jc w:val="center"/>
        <w:rPr>
          <w:b/>
          <w:bCs/>
        </w:rPr>
      </w:pPr>
      <w:r>
        <w:rPr>
          <w:b/>
          <w:bCs/>
        </w:rPr>
        <w:t>Figure 3: Fair Out-of-Sample Comparison of Linear Regression and Decision-Tree Models</w:t>
      </w:r>
    </w:p>
    <w:p w:rsidR="00BB7F11" w:rsidRDefault="00A947D5">
      <w:pPr>
        <w:spacing w:line="360" w:lineRule="auto"/>
      </w:pPr>
      <w:r>
        <w:t>The full-sample explanatory OLS model achieved R²=0.854 and adjuste</w:t>
      </w:r>
      <w:r>
        <w:t xml:space="preserve">d R²=0.851. </w:t>
      </w:r>
      <w:proofErr w:type="spellStart"/>
      <w:r>
        <w:t>Heteroskedasticity</w:t>
      </w:r>
      <w:proofErr w:type="spellEnd"/>
      <w:r>
        <w:t>-and-autocorrelation-consistent standard errors were used because residual testing indicated serial dependence (</w:t>
      </w:r>
      <w:proofErr w:type="spellStart"/>
      <w:r>
        <w:rPr>
          <w:color w:val="222222"/>
          <w:highlight w:val="white"/>
        </w:rPr>
        <w:t>Hounyo</w:t>
      </w:r>
      <w:proofErr w:type="spellEnd"/>
      <w:r>
        <w:rPr>
          <w:color w:val="222222"/>
          <w:highlight w:val="white"/>
        </w:rPr>
        <w:t>, 2026</w:t>
      </w:r>
      <w:r w:rsidR="002F008C">
        <w:rPr>
          <w:rFonts w:ascii="Gungsuh" w:eastAsia="Gungsuh" w:hAnsi="Gungsuh" w:cs="Gungsuh"/>
        </w:rPr>
        <w:t>).</w:t>
      </w:r>
      <w:r w:rsidR="002F008C">
        <w:t xml:space="preserve"> </w:t>
      </w:r>
      <w:r w:rsidR="002F008C" w:rsidRPr="002F008C">
        <w:t>Holding calendar and trend variables constant, temperature was associated with 229.51 additional daily pickups per one-degree increase. Humidity (−37.32), precipitation (−63.00) and wind speed (−51.06) had significant negative coefficients. Visibility (+122.95) and solar energy (+51.97) were positive. Cloud cover was not significant at 5% after HAC correction (p=0.0526). These coefficients should be interpreted as conditional associations, not causal treatment effects. Residual non-normality and autocorrelation also mean uncertainty is better represented by robust errors and separate time-series validation than by con</w:t>
      </w:r>
      <w:r w:rsidR="002F008C">
        <w:t>ventional OLS assumptions alone (</w:t>
      </w:r>
      <w:proofErr w:type="spellStart"/>
      <w:r>
        <w:rPr>
          <w:color w:val="222222"/>
          <w:highlight w:val="white"/>
        </w:rPr>
        <w:t>Iheaka</w:t>
      </w:r>
      <w:proofErr w:type="spellEnd"/>
      <w:r>
        <w:rPr>
          <w:color w:val="222222"/>
          <w:highlight w:val="white"/>
        </w:rPr>
        <w:t>, 2025</w:t>
      </w:r>
      <w:r>
        <w:t xml:space="preserve">). The full-sample OLS fit estimates conditional relationships and uses all observations for coefficient interpretation, whereas the holdout comparison measures how well each </w:t>
      </w:r>
      <w:r>
        <w:lastRenderedPageBreak/>
        <w:t xml:space="preserve">algorithm </w:t>
      </w:r>
      <w:proofErr w:type="spellStart"/>
      <w:r>
        <w:t>generalise</w:t>
      </w:r>
      <w:r>
        <w:t>s</w:t>
      </w:r>
      <w:proofErr w:type="spellEnd"/>
      <w:r>
        <w:t xml:space="preserve"> to a later period. The higher in-sample R² of 0.854 should therefore not be compared directly with the test R² of 0.778.</w:t>
      </w:r>
    </w:p>
    <w:p w:rsidR="002F008C" w:rsidRDefault="002F008C">
      <w:pPr>
        <w:spacing w:line="360" w:lineRule="auto"/>
      </w:pPr>
    </w:p>
    <w:tbl>
      <w:tblPr>
        <w:tblStyle w:val="a0"/>
        <w:tblW w:w="943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88"/>
        <w:gridCol w:w="1512"/>
        <w:gridCol w:w="1368"/>
        <w:gridCol w:w="1224"/>
        <w:gridCol w:w="3240"/>
      </w:tblGrid>
      <w:tr w:rsidR="00BB7F11">
        <w:trPr>
          <w:jc w:val="center"/>
        </w:trPr>
        <w:tc>
          <w:tcPr>
            <w:tcW w:w="2088" w:type="dxa"/>
          </w:tcPr>
          <w:p w:rsidR="00BB7F11" w:rsidRDefault="00A947D5">
            <w:pPr>
              <w:spacing w:line="360" w:lineRule="auto"/>
              <w:rPr>
                <w:b/>
                <w:bCs/>
              </w:rPr>
            </w:pPr>
            <w:r>
              <w:rPr>
                <w:b/>
                <w:bCs/>
              </w:rPr>
              <w:t>Weather predictor</w:t>
            </w:r>
          </w:p>
        </w:tc>
        <w:tc>
          <w:tcPr>
            <w:tcW w:w="1512" w:type="dxa"/>
          </w:tcPr>
          <w:p w:rsidR="00BB7F11" w:rsidRDefault="00A947D5">
            <w:pPr>
              <w:spacing w:line="360" w:lineRule="auto"/>
              <w:rPr>
                <w:b/>
                <w:bCs/>
              </w:rPr>
            </w:pPr>
            <w:r>
              <w:rPr>
                <w:b/>
                <w:bCs/>
              </w:rPr>
              <w:t>Coefficient</w:t>
            </w:r>
          </w:p>
        </w:tc>
        <w:tc>
          <w:tcPr>
            <w:tcW w:w="1368" w:type="dxa"/>
          </w:tcPr>
          <w:p w:rsidR="00BB7F11" w:rsidRDefault="00A947D5">
            <w:pPr>
              <w:spacing w:line="360" w:lineRule="auto"/>
              <w:rPr>
                <w:b/>
                <w:bCs/>
              </w:rPr>
            </w:pPr>
            <w:r>
              <w:rPr>
                <w:b/>
                <w:bCs/>
              </w:rPr>
              <w:t>HAC SE</w:t>
            </w:r>
          </w:p>
        </w:tc>
        <w:tc>
          <w:tcPr>
            <w:tcW w:w="1224" w:type="dxa"/>
          </w:tcPr>
          <w:p w:rsidR="00BB7F11" w:rsidRDefault="00A947D5">
            <w:pPr>
              <w:spacing w:line="360" w:lineRule="auto"/>
              <w:rPr>
                <w:b/>
                <w:bCs/>
              </w:rPr>
            </w:pPr>
            <w:r>
              <w:rPr>
                <w:b/>
                <w:bCs/>
              </w:rPr>
              <w:t>p-value</w:t>
            </w:r>
          </w:p>
        </w:tc>
        <w:tc>
          <w:tcPr>
            <w:tcW w:w="3240" w:type="dxa"/>
          </w:tcPr>
          <w:p w:rsidR="00BB7F11" w:rsidRDefault="00A947D5">
            <w:pPr>
              <w:spacing w:line="360" w:lineRule="auto"/>
              <w:rPr>
                <w:b/>
                <w:bCs/>
              </w:rPr>
            </w:pPr>
            <w:r>
              <w:rPr>
                <w:b/>
                <w:bCs/>
              </w:rPr>
              <w:t>Interpretation</w:t>
            </w:r>
          </w:p>
        </w:tc>
      </w:tr>
      <w:tr w:rsidR="00BB7F11">
        <w:trPr>
          <w:jc w:val="center"/>
        </w:trPr>
        <w:tc>
          <w:tcPr>
            <w:tcW w:w="2088" w:type="dxa"/>
          </w:tcPr>
          <w:p w:rsidR="00BB7F11" w:rsidRDefault="00A947D5">
            <w:pPr>
              <w:spacing w:line="360" w:lineRule="auto"/>
            </w:pPr>
            <w:r>
              <w:t>Temperature</w:t>
            </w:r>
          </w:p>
        </w:tc>
        <w:tc>
          <w:tcPr>
            <w:tcW w:w="1512" w:type="dxa"/>
          </w:tcPr>
          <w:p w:rsidR="00BB7F11" w:rsidRDefault="00A947D5">
            <w:pPr>
              <w:spacing w:line="360" w:lineRule="auto"/>
            </w:pPr>
            <w:r>
              <w:t>229.51</w:t>
            </w:r>
          </w:p>
        </w:tc>
        <w:tc>
          <w:tcPr>
            <w:tcW w:w="1368" w:type="dxa"/>
          </w:tcPr>
          <w:p w:rsidR="00BB7F11" w:rsidRDefault="00A947D5">
            <w:pPr>
              <w:spacing w:line="360" w:lineRule="auto"/>
            </w:pPr>
            <w:r>
              <w:t>20.43</w:t>
            </w:r>
          </w:p>
        </w:tc>
        <w:tc>
          <w:tcPr>
            <w:tcW w:w="1224" w:type="dxa"/>
          </w:tcPr>
          <w:p w:rsidR="00BB7F11" w:rsidRDefault="00A947D5">
            <w:pPr>
              <w:spacing w:line="360" w:lineRule="auto"/>
            </w:pPr>
            <w:r>
              <w:t>&lt;0.001</w:t>
            </w:r>
          </w:p>
        </w:tc>
        <w:tc>
          <w:tcPr>
            <w:tcW w:w="3240" w:type="dxa"/>
          </w:tcPr>
          <w:p w:rsidR="00BB7F11" w:rsidRDefault="00A947D5">
            <w:pPr>
              <w:spacing w:line="360" w:lineRule="auto"/>
            </w:pPr>
            <w:r>
              <w:t>Positive</w:t>
            </w:r>
          </w:p>
        </w:tc>
      </w:tr>
      <w:tr w:rsidR="00BB7F11">
        <w:trPr>
          <w:jc w:val="center"/>
        </w:trPr>
        <w:tc>
          <w:tcPr>
            <w:tcW w:w="2088" w:type="dxa"/>
          </w:tcPr>
          <w:p w:rsidR="00BB7F11" w:rsidRDefault="00A947D5">
            <w:pPr>
              <w:spacing w:line="360" w:lineRule="auto"/>
            </w:pPr>
            <w:r>
              <w:t>Humidity</w:t>
            </w:r>
          </w:p>
        </w:tc>
        <w:tc>
          <w:tcPr>
            <w:tcW w:w="1512" w:type="dxa"/>
          </w:tcPr>
          <w:p w:rsidR="00BB7F11" w:rsidRDefault="00A947D5">
            <w:pPr>
              <w:spacing w:line="360" w:lineRule="auto"/>
            </w:pPr>
            <w:sdt>
              <w:sdtPr>
                <w:tag w:val="goog_rdk_2"/>
                <w:id w:val="1263008541"/>
              </w:sdtPr>
              <w:sdtEndPr/>
              <w:sdtContent>
                <w:r>
                  <w:rPr>
                    <w:rFonts w:ascii="Gungsuh" w:eastAsia="Gungsuh" w:hAnsi="Gungsuh" w:cs="Gungsuh"/>
                  </w:rPr>
                  <w:t>−</w:t>
                </w:r>
                <w:r>
                  <w:rPr>
                    <w:rFonts w:ascii="Gungsuh" w:eastAsia="Gungsuh" w:hAnsi="Gungsuh" w:cs="Gungsuh"/>
                  </w:rPr>
                  <w:t>37.32</w:t>
                </w:r>
              </w:sdtContent>
            </w:sdt>
          </w:p>
        </w:tc>
        <w:tc>
          <w:tcPr>
            <w:tcW w:w="1368" w:type="dxa"/>
          </w:tcPr>
          <w:p w:rsidR="00BB7F11" w:rsidRDefault="00A947D5">
            <w:pPr>
              <w:spacing w:line="360" w:lineRule="auto"/>
            </w:pPr>
            <w:r>
              <w:t>6.40</w:t>
            </w:r>
          </w:p>
        </w:tc>
        <w:tc>
          <w:tcPr>
            <w:tcW w:w="1224" w:type="dxa"/>
          </w:tcPr>
          <w:p w:rsidR="00BB7F11" w:rsidRDefault="00A947D5">
            <w:pPr>
              <w:spacing w:line="360" w:lineRule="auto"/>
            </w:pPr>
            <w:r>
              <w:t>&lt;0.001</w:t>
            </w:r>
          </w:p>
        </w:tc>
        <w:tc>
          <w:tcPr>
            <w:tcW w:w="3240" w:type="dxa"/>
          </w:tcPr>
          <w:p w:rsidR="00BB7F11" w:rsidRDefault="00A947D5">
            <w:pPr>
              <w:spacing w:line="360" w:lineRule="auto"/>
            </w:pPr>
            <w:r>
              <w:t>Negative</w:t>
            </w:r>
          </w:p>
        </w:tc>
      </w:tr>
      <w:tr w:rsidR="00BB7F11">
        <w:trPr>
          <w:jc w:val="center"/>
        </w:trPr>
        <w:tc>
          <w:tcPr>
            <w:tcW w:w="2088" w:type="dxa"/>
          </w:tcPr>
          <w:p w:rsidR="00BB7F11" w:rsidRDefault="00A947D5">
            <w:pPr>
              <w:spacing w:line="360" w:lineRule="auto"/>
            </w:pPr>
            <w:r>
              <w:t>Precipitation</w:t>
            </w:r>
          </w:p>
        </w:tc>
        <w:tc>
          <w:tcPr>
            <w:tcW w:w="1512" w:type="dxa"/>
          </w:tcPr>
          <w:p w:rsidR="00BB7F11" w:rsidRDefault="00A947D5">
            <w:pPr>
              <w:spacing w:line="360" w:lineRule="auto"/>
            </w:pPr>
            <w:sdt>
              <w:sdtPr>
                <w:tag w:val="goog_rdk_3"/>
                <w:id w:val="1214109509"/>
              </w:sdtPr>
              <w:sdtEndPr/>
              <w:sdtContent>
                <w:r>
                  <w:rPr>
                    <w:rFonts w:ascii="Gungsuh" w:eastAsia="Gungsuh" w:hAnsi="Gungsuh" w:cs="Gungsuh"/>
                  </w:rPr>
                  <w:t>−</w:t>
                </w:r>
                <w:r>
                  <w:rPr>
                    <w:rFonts w:ascii="Gungsuh" w:eastAsia="Gungsuh" w:hAnsi="Gungsuh" w:cs="Gungsuh"/>
                  </w:rPr>
                  <w:t>63.00</w:t>
                </w:r>
              </w:sdtContent>
            </w:sdt>
          </w:p>
        </w:tc>
        <w:tc>
          <w:tcPr>
            <w:tcW w:w="1368" w:type="dxa"/>
          </w:tcPr>
          <w:p w:rsidR="00BB7F11" w:rsidRDefault="00A947D5">
            <w:pPr>
              <w:spacing w:line="360" w:lineRule="auto"/>
            </w:pPr>
            <w:r>
              <w:t>8.34</w:t>
            </w:r>
          </w:p>
        </w:tc>
        <w:tc>
          <w:tcPr>
            <w:tcW w:w="1224" w:type="dxa"/>
          </w:tcPr>
          <w:p w:rsidR="00BB7F11" w:rsidRDefault="00A947D5">
            <w:pPr>
              <w:spacing w:line="360" w:lineRule="auto"/>
            </w:pPr>
            <w:r>
              <w:t>&lt;0.001</w:t>
            </w:r>
          </w:p>
        </w:tc>
        <w:tc>
          <w:tcPr>
            <w:tcW w:w="3240" w:type="dxa"/>
          </w:tcPr>
          <w:p w:rsidR="00BB7F11" w:rsidRDefault="00A947D5">
            <w:pPr>
              <w:spacing w:line="360" w:lineRule="auto"/>
            </w:pPr>
            <w:r>
              <w:t>Negative</w:t>
            </w:r>
          </w:p>
        </w:tc>
      </w:tr>
      <w:tr w:rsidR="00BB7F11">
        <w:trPr>
          <w:jc w:val="center"/>
        </w:trPr>
        <w:tc>
          <w:tcPr>
            <w:tcW w:w="2088" w:type="dxa"/>
          </w:tcPr>
          <w:p w:rsidR="00BB7F11" w:rsidRDefault="00A947D5">
            <w:pPr>
              <w:spacing w:line="360" w:lineRule="auto"/>
            </w:pPr>
            <w:r>
              <w:t>Wind speed</w:t>
            </w:r>
          </w:p>
        </w:tc>
        <w:tc>
          <w:tcPr>
            <w:tcW w:w="1512" w:type="dxa"/>
          </w:tcPr>
          <w:p w:rsidR="00BB7F11" w:rsidRDefault="00A947D5">
            <w:pPr>
              <w:spacing w:line="360" w:lineRule="auto"/>
            </w:pPr>
            <w:sdt>
              <w:sdtPr>
                <w:tag w:val="goog_rdk_4"/>
                <w:id w:val="266090270"/>
              </w:sdtPr>
              <w:sdtEndPr/>
              <w:sdtContent>
                <w:r>
                  <w:rPr>
                    <w:rFonts w:ascii="Gungsuh" w:eastAsia="Gungsuh" w:hAnsi="Gungsuh" w:cs="Gungsuh"/>
                  </w:rPr>
                  <w:t>−</w:t>
                </w:r>
                <w:r>
                  <w:rPr>
                    <w:rFonts w:ascii="Gungsuh" w:eastAsia="Gungsuh" w:hAnsi="Gungsuh" w:cs="Gungsuh"/>
                  </w:rPr>
                  <w:t>51.06</w:t>
                </w:r>
              </w:sdtContent>
            </w:sdt>
          </w:p>
        </w:tc>
        <w:tc>
          <w:tcPr>
            <w:tcW w:w="1368" w:type="dxa"/>
          </w:tcPr>
          <w:p w:rsidR="00BB7F11" w:rsidRDefault="00A947D5">
            <w:pPr>
              <w:spacing w:line="360" w:lineRule="auto"/>
            </w:pPr>
            <w:r>
              <w:t>6.11</w:t>
            </w:r>
          </w:p>
        </w:tc>
        <w:tc>
          <w:tcPr>
            <w:tcW w:w="1224" w:type="dxa"/>
          </w:tcPr>
          <w:p w:rsidR="00BB7F11" w:rsidRDefault="00A947D5">
            <w:pPr>
              <w:spacing w:line="360" w:lineRule="auto"/>
            </w:pPr>
            <w:r>
              <w:t>&lt;0.001</w:t>
            </w:r>
          </w:p>
        </w:tc>
        <w:tc>
          <w:tcPr>
            <w:tcW w:w="3240" w:type="dxa"/>
          </w:tcPr>
          <w:p w:rsidR="00BB7F11" w:rsidRDefault="00A947D5">
            <w:pPr>
              <w:spacing w:line="360" w:lineRule="auto"/>
            </w:pPr>
            <w:r>
              <w:t>Negative</w:t>
            </w:r>
          </w:p>
        </w:tc>
      </w:tr>
      <w:tr w:rsidR="00BB7F11">
        <w:trPr>
          <w:jc w:val="center"/>
        </w:trPr>
        <w:tc>
          <w:tcPr>
            <w:tcW w:w="2088" w:type="dxa"/>
          </w:tcPr>
          <w:p w:rsidR="00BB7F11" w:rsidRDefault="00A947D5">
            <w:pPr>
              <w:spacing w:line="360" w:lineRule="auto"/>
            </w:pPr>
            <w:r>
              <w:t>Cloud cover</w:t>
            </w:r>
          </w:p>
        </w:tc>
        <w:tc>
          <w:tcPr>
            <w:tcW w:w="1512" w:type="dxa"/>
          </w:tcPr>
          <w:p w:rsidR="00BB7F11" w:rsidRDefault="00A947D5">
            <w:pPr>
              <w:spacing w:line="360" w:lineRule="auto"/>
            </w:pPr>
            <w:sdt>
              <w:sdtPr>
                <w:tag w:val="goog_rdk_5"/>
                <w:id w:val="-1300733356"/>
              </w:sdtPr>
              <w:sdtEndPr/>
              <w:sdtContent>
                <w:r>
                  <w:rPr>
                    <w:rFonts w:ascii="Gungsuh" w:eastAsia="Gungsuh" w:hAnsi="Gungsuh" w:cs="Gungsuh"/>
                  </w:rPr>
                  <w:t>−</w:t>
                </w:r>
                <w:r>
                  <w:rPr>
                    <w:rFonts w:ascii="Gungsuh" w:eastAsia="Gungsuh" w:hAnsi="Gungsuh" w:cs="Gungsuh"/>
                  </w:rPr>
                  <w:t>5.37</w:t>
                </w:r>
              </w:sdtContent>
            </w:sdt>
          </w:p>
        </w:tc>
        <w:tc>
          <w:tcPr>
            <w:tcW w:w="1368" w:type="dxa"/>
          </w:tcPr>
          <w:p w:rsidR="00BB7F11" w:rsidRDefault="00A947D5">
            <w:pPr>
              <w:spacing w:line="360" w:lineRule="auto"/>
            </w:pPr>
            <w:r>
              <w:t>2.77</w:t>
            </w:r>
          </w:p>
        </w:tc>
        <w:tc>
          <w:tcPr>
            <w:tcW w:w="1224" w:type="dxa"/>
          </w:tcPr>
          <w:p w:rsidR="00BB7F11" w:rsidRDefault="00A947D5">
            <w:pPr>
              <w:spacing w:line="360" w:lineRule="auto"/>
            </w:pPr>
            <w:r>
              <w:t>0.0526</w:t>
            </w:r>
          </w:p>
        </w:tc>
        <w:tc>
          <w:tcPr>
            <w:tcW w:w="3240" w:type="dxa"/>
          </w:tcPr>
          <w:p w:rsidR="00BB7F11" w:rsidRDefault="00A947D5">
            <w:pPr>
              <w:spacing w:line="360" w:lineRule="auto"/>
            </w:pPr>
            <w:r>
              <w:t>Not significant at 5%</w:t>
            </w:r>
          </w:p>
        </w:tc>
      </w:tr>
      <w:tr w:rsidR="00BB7F11">
        <w:trPr>
          <w:jc w:val="center"/>
        </w:trPr>
        <w:tc>
          <w:tcPr>
            <w:tcW w:w="2088" w:type="dxa"/>
          </w:tcPr>
          <w:p w:rsidR="00BB7F11" w:rsidRDefault="00A947D5">
            <w:pPr>
              <w:spacing w:line="360" w:lineRule="auto"/>
            </w:pPr>
            <w:r>
              <w:t>Visibility</w:t>
            </w:r>
          </w:p>
        </w:tc>
        <w:tc>
          <w:tcPr>
            <w:tcW w:w="1512" w:type="dxa"/>
          </w:tcPr>
          <w:p w:rsidR="00BB7F11" w:rsidRDefault="00A947D5">
            <w:pPr>
              <w:spacing w:line="360" w:lineRule="auto"/>
            </w:pPr>
            <w:r>
              <w:t>122.95</w:t>
            </w:r>
          </w:p>
        </w:tc>
        <w:tc>
          <w:tcPr>
            <w:tcW w:w="1368" w:type="dxa"/>
          </w:tcPr>
          <w:p w:rsidR="00BB7F11" w:rsidRDefault="00A947D5">
            <w:pPr>
              <w:spacing w:line="360" w:lineRule="auto"/>
            </w:pPr>
            <w:r>
              <w:t>45.32</w:t>
            </w:r>
          </w:p>
        </w:tc>
        <w:tc>
          <w:tcPr>
            <w:tcW w:w="1224" w:type="dxa"/>
          </w:tcPr>
          <w:p w:rsidR="00BB7F11" w:rsidRDefault="00A947D5">
            <w:pPr>
              <w:spacing w:line="360" w:lineRule="auto"/>
            </w:pPr>
            <w:r>
              <w:t>0.0067</w:t>
            </w:r>
          </w:p>
        </w:tc>
        <w:tc>
          <w:tcPr>
            <w:tcW w:w="3240" w:type="dxa"/>
          </w:tcPr>
          <w:p w:rsidR="00BB7F11" w:rsidRDefault="00A947D5">
            <w:pPr>
              <w:spacing w:line="360" w:lineRule="auto"/>
            </w:pPr>
            <w:r>
              <w:t>Positive</w:t>
            </w:r>
          </w:p>
        </w:tc>
      </w:tr>
      <w:tr w:rsidR="00BB7F11">
        <w:trPr>
          <w:jc w:val="center"/>
        </w:trPr>
        <w:tc>
          <w:tcPr>
            <w:tcW w:w="2088" w:type="dxa"/>
          </w:tcPr>
          <w:p w:rsidR="00BB7F11" w:rsidRDefault="00A947D5">
            <w:pPr>
              <w:spacing w:line="360" w:lineRule="auto"/>
            </w:pPr>
            <w:r>
              <w:t>Solar energy</w:t>
            </w:r>
          </w:p>
        </w:tc>
        <w:tc>
          <w:tcPr>
            <w:tcW w:w="1512" w:type="dxa"/>
          </w:tcPr>
          <w:p w:rsidR="00BB7F11" w:rsidRDefault="00A947D5">
            <w:pPr>
              <w:spacing w:line="360" w:lineRule="auto"/>
            </w:pPr>
            <w:r>
              <w:t>51.97</w:t>
            </w:r>
          </w:p>
        </w:tc>
        <w:tc>
          <w:tcPr>
            <w:tcW w:w="1368" w:type="dxa"/>
          </w:tcPr>
          <w:p w:rsidR="00BB7F11" w:rsidRDefault="00A947D5">
            <w:pPr>
              <w:spacing w:line="360" w:lineRule="auto"/>
            </w:pPr>
            <w:r>
              <w:t>17.07</w:t>
            </w:r>
          </w:p>
        </w:tc>
        <w:tc>
          <w:tcPr>
            <w:tcW w:w="1224" w:type="dxa"/>
          </w:tcPr>
          <w:p w:rsidR="00BB7F11" w:rsidRDefault="00A947D5">
            <w:pPr>
              <w:spacing w:line="360" w:lineRule="auto"/>
            </w:pPr>
            <w:r>
              <w:t>0.0024</w:t>
            </w:r>
          </w:p>
        </w:tc>
        <w:tc>
          <w:tcPr>
            <w:tcW w:w="3240" w:type="dxa"/>
          </w:tcPr>
          <w:p w:rsidR="00BB7F11" w:rsidRDefault="00A947D5">
            <w:pPr>
              <w:spacing w:line="360" w:lineRule="auto"/>
            </w:pPr>
            <w:r>
              <w:t>Positive</w:t>
            </w:r>
          </w:p>
        </w:tc>
      </w:tr>
    </w:tbl>
    <w:p w:rsidR="00BB7F11" w:rsidRDefault="00A947D5">
      <w:pPr>
        <w:spacing w:line="360" w:lineRule="auto"/>
        <w:jc w:val="center"/>
        <w:rPr>
          <w:b/>
          <w:bCs/>
        </w:rPr>
      </w:pPr>
      <w:r>
        <w:rPr>
          <w:b/>
          <w:bCs/>
        </w:rPr>
        <w:t>Table 3: HAC-Robust Regression Results for Weather Predictors of Daily Pickup Demand</w:t>
      </w:r>
    </w:p>
    <w:p w:rsidR="00BB7F11" w:rsidRDefault="00A947D5">
      <w:pPr>
        <w:pStyle w:val="Heading1"/>
      </w:pPr>
      <w:bookmarkStart w:id="10" w:name="_heading=h.jy8l3d16ydej" w:colFirst="0" w:colLast="0"/>
      <w:bookmarkEnd w:id="10"/>
      <w:r>
        <w:t>5. Clustering and station profiles</w:t>
      </w:r>
    </w:p>
    <w:p w:rsidR="00BB7F11" w:rsidRDefault="00A947D5">
      <w:pPr>
        <w:spacing w:line="360" w:lineRule="auto"/>
      </w:pPr>
      <w:r>
        <w:t xml:space="preserve">The clustering decision goal was to convert heterogeneous station </w:t>
      </w:r>
      <w:proofErr w:type="spellStart"/>
      <w:r>
        <w:t>behaviour</w:t>
      </w:r>
      <w:proofErr w:type="spellEnd"/>
      <w:r>
        <w:t xml:space="preserve"> into operational tiers for rebalancing, maintenance and capa</w:t>
      </w:r>
      <w:r>
        <w:t xml:space="preserve">city review. Three </w:t>
      </w:r>
      <w:proofErr w:type="spellStart"/>
      <w:r>
        <w:t>standardised</w:t>
      </w:r>
      <w:proofErr w:type="spellEnd"/>
      <w:r>
        <w:t xml:space="preserve"> features were used: mean daily pickups, standard deviation of daily pickups and maximum daily pickups. These are the representations of standard loads, volatility, and peak pressures. The k-means clustering algorithm was app</w:t>
      </w:r>
      <w:r>
        <w:t xml:space="preserve">lied to determine k from 2 to 8 based on inertia and silhouette score. K-means tries to generate compact clusters by </w:t>
      </w:r>
      <w:proofErr w:type="spellStart"/>
      <w:r>
        <w:t>minimising</w:t>
      </w:r>
      <w:proofErr w:type="spellEnd"/>
      <w:r>
        <w:t xml:space="preserve"> the within-cluster sum of squares, while high silhouette scores near one denote well-separated clusters. While k=2 achieved the </w:t>
      </w:r>
      <w:r>
        <w:t>best silhouette score of 0.6085, k=3 maintained a similar score of 0.5964 along with an elbow drop in inertia.</w:t>
      </w:r>
    </w:p>
    <w:p w:rsidR="00BB7F11" w:rsidRDefault="00A947D5">
      <w:pPr>
        <w:spacing w:line="360" w:lineRule="auto"/>
        <w:jc w:val="center"/>
      </w:pPr>
      <w:r>
        <w:rPr>
          <w:noProof/>
          <w:lang w:val="en-IN"/>
        </w:rPr>
        <w:drawing>
          <wp:inline distT="0" distB="0" distL="0" distR="0">
            <wp:extent cx="5586153" cy="1832295"/>
            <wp:effectExtent l="0" t="0" r="0" b="0"/>
            <wp:docPr id="5" name="image7.png" descr="Figure 4. Elbow and silhouette evidence for selecting three station clusters. Source: author’s analysis."/>
            <wp:cNvGraphicFramePr/>
            <a:graphic xmlns:a="http://schemas.openxmlformats.org/drawingml/2006/main">
              <a:graphicData uri="http://schemas.openxmlformats.org/drawingml/2006/picture">
                <pic:pic xmlns:pic="http://schemas.openxmlformats.org/drawingml/2006/picture">
                  <pic:nvPicPr>
                    <pic:cNvPr id="0" name="image7.png" descr="Figure 4. Elbow and silhouette evidence for selecting three station clusters. Source: author’s analysis."/>
                    <pic:cNvPicPr preferRelativeResize="0"/>
                  </pic:nvPicPr>
                  <pic:blipFill>
                    <a:blip r:embed="rId12"/>
                    <a:srcRect/>
                    <a:stretch>
                      <a:fillRect/>
                    </a:stretch>
                  </pic:blipFill>
                  <pic:spPr>
                    <a:xfrm>
                      <a:off x="0" y="0"/>
                      <a:ext cx="5586153" cy="1832295"/>
                    </a:xfrm>
                    <a:prstGeom prst="rect">
                      <a:avLst/>
                    </a:prstGeom>
                    <a:ln/>
                  </pic:spPr>
                </pic:pic>
              </a:graphicData>
            </a:graphic>
          </wp:inline>
        </w:drawing>
      </w:r>
    </w:p>
    <w:p w:rsidR="00BB7F11" w:rsidRDefault="00A947D5">
      <w:pPr>
        <w:spacing w:line="360" w:lineRule="auto"/>
        <w:jc w:val="center"/>
        <w:rPr>
          <w:b/>
          <w:bCs/>
        </w:rPr>
      </w:pPr>
      <w:r>
        <w:rPr>
          <w:b/>
          <w:bCs/>
        </w:rPr>
        <w:t>Figure 4: Elbow and Silhouette for Selecting Three Station Clusters</w:t>
      </w:r>
    </w:p>
    <w:tbl>
      <w:tblPr>
        <w:tblStyle w:val="a1"/>
        <w:tblW w:w="928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8"/>
        <w:gridCol w:w="1316"/>
        <w:gridCol w:w="1800"/>
        <w:gridCol w:w="1656"/>
        <w:gridCol w:w="1584"/>
        <w:gridCol w:w="1584"/>
      </w:tblGrid>
      <w:tr w:rsidR="00BB7F11">
        <w:trPr>
          <w:jc w:val="center"/>
        </w:trPr>
        <w:tc>
          <w:tcPr>
            <w:tcW w:w="1348" w:type="dxa"/>
          </w:tcPr>
          <w:p w:rsidR="00BB7F11" w:rsidRDefault="00A947D5">
            <w:pPr>
              <w:spacing w:line="360" w:lineRule="auto"/>
              <w:rPr>
                <w:b/>
                <w:bCs/>
              </w:rPr>
            </w:pPr>
            <w:r>
              <w:rPr>
                <w:b/>
                <w:bCs/>
              </w:rPr>
              <w:lastRenderedPageBreak/>
              <w:t>Cluster profile</w:t>
            </w:r>
          </w:p>
        </w:tc>
        <w:tc>
          <w:tcPr>
            <w:tcW w:w="1316" w:type="dxa"/>
          </w:tcPr>
          <w:p w:rsidR="00BB7F11" w:rsidRDefault="00A947D5">
            <w:pPr>
              <w:spacing w:line="360" w:lineRule="auto"/>
              <w:rPr>
                <w:b/>
                <w:bCs/>
              </w:rPr>
            </w:pPr>
            <w:r>
              <w:rPr>
                <w:b/>
                <w:bCs/>
              </w:rPr>
              <w:t>Stations</w:t>
            </w:r>
          </w:p>
        </w:tc>
        <w:tc>
          <w:tcPr>
            <w:tcW w:w="1800" w:type="dxa"/>
          </w:tcPr>
          <w:p w:rsidR="00BB7F11" w:rsidRDefault="00A947D5">
            <w:pPr>
              <w:spacing w:line="360" w:lineRule="auto"/>
              <w:rPr>
                <w:b/>
                <w:bCs/>
              </w:rPr>
            </w:pPr>
            <w:r>
              <w:rPr>
                <w:b/>
                <w:bCs/>
              </w:rPr>
              <w:t>Mean daily pickups</w:t>
            </w:r>
          </w:p>
        </w:tc>
        <w:tc>
          <w:tcPr>
            <w:tcW w:w="1656" w:type="dxa"/>
          </w:tcPr>
          <w:p w:rsidR="00BB7F11" w:rsidRDefault="00A947D5">
            <w:pPr>
              <w:spacing w:line="360" w:lineRule="auto"/>
              <w:rPr>
                <w:b/>
                <w:bCs/>
              </w:rPr>
            </w:pPr>
            <w:r>
              <w:rPr>
                <w:b/>
                <w:bCs/>
              </w:rPr>
              <w:t>Mean variability</w:t>
            </w:r>
          </w:p>
        </w:tc>
        <w:tc>
          <w:tcPr>
            <w:tcW w:w="1584" w:type="dxa"/>
          </w:tcPr>
          <w:p w:rsidR="00BB7F11" w:rsidRDefault="00A947D5">
            <w:pPr>
              <w:spacing w:line="360" w:lineRule="auto"/>
              <w:rPr>
                <w:b/>
                <w:bCs/>
              </w:rPr>
            </w:pPr>
            <w:r>
              <w:rPr>
                <w:b/>
                <w:bCs/>
              </w:rPr>
              <w:t>Mean maximum</w:t>
            </w:r>
          </w:p>
        </w:tc>
        <w:tc>
          <w:tcPr>
            <w:tcW w:w="1584" w:type="dxa"/>
          </w:tcPr>
          <w:p w:rsidR="00BB7F11" w:rsidRDefault="00A947D5">
            <w:pPr>
              <w:spacing w:line="360" w:lineRule="auto"/>
              <w:rPr>
                <w:b/>
                <w:bCs/>
              </w:rPr>
            </w:pPr>
            <w:r>
              <w:rPr>
                <w:b/>
                <w:bCs/>
              </w:rPr>
              <w:t>T</w:t>
            </w:r>
            <w:r>
              <w:rPr>
                <w:b/>
                <w:bCs/>
              </w:rPr>
              <w:t>otal pickups</w:t>
            </w:r>
          </w:p>
        </w:tc>
      </w:tr>
      <w:tr w:rsidR="00BB7F11">
        <w:trPr>
          <w:jc w:val="center"/>
        </w:trPr>
        <w:tc>
          <w:tcPr>
            <w:tcW w:w="1348" w:type="dxa"/>
          </w:tcPr>
          <w:p w:rsidR="00BB7F11" w:rsidRDefault="00A947D5">
            <w:pPr>
              <w:spacing w:line="360" w:lineRule="auto"/>
            </w:pPr>
            <w:r>
              <w:t>Low demand</w:t>
            </w:r>
          </w:p>
        </w:tc>
        <w:tc>
          <w:tcPr>
            <w:tcW w:w="1316" w:type="dxa"/>
          </w:tcPr>
          <w:p w:rsidR="00BB7F11" w:rsidRDefault="00A947D5">
            <w:pPr>
              <w:spacing w:line="360" w:lineRule="auto"/>
            </w:pPr>
            <w:r>
              <w:t>231</w:t>
            </w:r>
          </w:p>
        </w:tc>
        <w:tc>
          <w:tcPr>
            <w:tcW w:w="1800" w:type="dxa"/>
          </w:tcPr>
          <w:p w:rsidR="00BB7F11" w:rsidRDefault="00A947D5">
            <w:pPr>
              <w:spacing w:line="360" w:lineRule="auto"/>
            </w:pPr>
            <w:r>
              <w:t>9.12</w:t>
            </w:r>
          </w:p>
        </w:tc>
        <w:tc>
          <w:tcPr>
            <w:tcW w:w="1656" w:type="dxa"/>
          </w:tcPr>
          <w:p w:rsidR="00BB7F11" w:rsidRDefault="00A947D5">
            <w:pPr>
              <w:spacing w:line="360" w:lineRule="auto"/>
            </w:pPr>
            <w:r>
              <w:t>5.56</w:t>
            </w:r>
          </w:p>
        </w:tc>
        <w:tc>
          <w:tcPr>
            <w:tcW w:w="1584" w:type="dxa"/>
          </w:tcPr>
          <w:p w:rsidR="00BB7F11" w:rsidRDefault="00A947D5">
            <w:pPr>
              <w:spacing w:line="360" w:lineRule="auto"/>
            </w:pPr>
            <w:r>
              <w:t>36.68</w:t>
            </w:r>
          </w:p>
        </w:tc>
        <w:tc>
          <w:tcPr>
            <w:tcW w:w="1584" w:type="dxa"/>
          </w:tcPr>
          <w:p w:rsidR="00BB7F11" w:rsidRDefault="00A947D5">
            <w:pPr>
              <w:spacing w:line="360" w:lineRule="auto"/>
            </w:pPr>
            <w:r>
              <w:t>3200827</w:t>
            </w:r>
          </w:p>
        </w:tc>
      </w:tr>
      <w:tr w:rsidR="00BB7F11">
        <w:trPr>
          <w:jc w:val="center"/>
        </w:trPr>
        <w:tc>
          <w:tcPr>
            <w:tcW w:w="1348" w:type="dxa"/>
          </w:tcPr>
          <w:p w:rsidR="00BB7F11" w:rsidRDefault="00A947D5">
            <w:pPr>
              <w:spacing w:line="360" w:lineRule="auto"/>
            </w:pPr>
            <w:r>
              <w:t>Medium demand</w:t>
            </w:r>
          </w:p>
        </w:tc>
        <w:tc>
          <w:tcPr>
            <w:tcW w:w="1316" w:type="dxa"/>
          </w:tcPr>
          <w:p w:rsidR="00BB7F11" w:rsidRDefault="00A947D5">
            <w:pPr>
              <w:spacing w:line="360" w:lineRule="auto"/>
            </w:pPr>
            <w:r>
              <w:t>131</w:t>
            </w:r>
          </w:p>
        </w:tc>
        <w:tc>
          <w:tcPr>
            <w:tcW w:w="1800" w:type="dxa"/>
          </w:tcPr>
          <w:p w:rsidR="00BB7F11" w:rsidRDefault="00A947D5">
            <w:pPr>
              <w:spacing w:line="360" w:lineRule="auto"/>
            </w:pPr>
            <w:r>
              <w:t>33.87</w:t>
            </w:r>
          </w:p>
        </w:tc>
        <w:tc>
          <w:tcPr>
            <w:tcW w:w="1656" w:type="dxa"/>
          </w:tcPr>
          <w:p w:rsidR="00BB7F11" w:rsidRDefault="00A947D5">
            <w:pPr>
              <w:spacing w:line="360" w:lineRule="auto"/>
            </w:pPr>
            <w:r>
              <w:t>17.77</w:t>
            </w:r>
          </w:p>
        </w:tc>
        <w:tc>
          <w:tcPr>
            <w:tcW w:w="1584" w:type="dxa"/>
          </w:tcPr>
          <w:p w:rsidR="00BB7F11" w:rsidRDefault="00A947D5">
            <w:pPr>
              <w:spacing w:line="360" w:lineRule="auto"/>
            </w:pPr>
            <w:r>
              <w:t>113.35</w:t>
            </w:r>
          </w:p>
        </w:tc>
        <w:tc>
          <w:tcPr>
            <w:tcW w:w="1584" w:type="dxa"/>
          </w:tcPr>
          <w:p w:rsidR="00BB7F11" w:rsidRDefault="00A947D5">
            <w:pPr>
              <w:spacing w:line="360" w:lineRule="auto"/>
            </w:pPr>
            <w:r>
              <w:t>6949754</w:t>
            </w:r>
          </w:p>
        </w:tc>
      </w:tr>
      <w:tr w:rsidR="00BB7F11">
        <w:trPr>
          <w:jc w:val="center"/>
        </w:trPr>
        <w:tc>
          <w:tcPr>
            <w:tcW w:w="1348" w:type="dxa"/>
          </w:tcPr>
          <w:p w:rsidR="00BB7F11" w:rsidRDefault="00A947D5">
            <w:pPr>
              <w:spacing w:line="360" w:lineRule="auto"/>
            </w:pPr>
            <w:r>
              <w:t>High demand</w:t>
            </w:r>
          </w:p>
        </w:tc>
        <w:tc>
          <w:tcPr>
            <w:tcW w:w="1316" w:type="dxa"/>
          </w:tcPr>
          <w:p w:rsidR="00BB7F11" w:rsidRDefault="00A947D5">
            <w:pPr>
              <w:spacing w:line="360" w:lineRule="auto"/>
            </w:pPr>
            <w:r>
              <w:t>21</w:t>
            </w:r>
          </w:p>
        </w:tc>
        <w:tc>
          <w:tcPr>
            <w:tcW w:w="1800" w:type="dxa"/>
          </w:tcPr>
          <w:p w:rsidR="00BB7F11" w:rsidRDefault="00A947D5">
            <w:pPr>
              <w:spacing w:line="360" w:lineRule="auto"/>
            </w:pPr>
            <w:r>
              <w:t>66.71</w:t>
            </w:r>
          </w:p>
        </w:tc>
        <w:tc>
          <w:tcPr>
            <w:tcW w:w="1656" w:type="dxa"/>
          </w:tcPr>
          <w:p w:rsidR="00BB7F11" w:rsidRDefault="00A947D5">
            <w:pPr>
              <w:spacing w:line="360" w:lineRule="auto"/>
            </w:pPr>
            <w:r>
              <w:t>38.41</w:t>
            </w:r>
          </w:p>
        </w:tc>
        <w:tc>
          <w:tcPr>
            <w:tcW w:w="1584" w:type="dxa"/>
          </w:tcPr>
          <w:p w:rsidR="00BB7F11" w:rsidRDefault="00A947D5">
            <w:pPr>
              <w:spacing w:line="360" w:lineRule="auto"/>
            </w:pPr>
            <w:r>
              <w:t>272.52</w:t>
            </w:r>
          </w:p>
        </w:tc>
        <w:tc>
          <w:tcPr>
            <w:tcW w:w="1584" w:type="dxa"/>
          </w:tcPr>
          <w:p w:rsidR="00BB7F11" w:rsidRDefault="00A947D5">
            <w:pPr>
              <w:spacing w:line="360" w:lineRule="auto"/>
            </w:pPr>
            <w:r>
              <w:t>2189377</w:t>
            </w:r>
          </w:p>
        </w:tc>
      </w:tr>
    </w:tbl>
    <w:p w:rsidR="00BB7F11" w:rsidRDefault="00A947D5">
      <w:pPr>
        <w:spacing w:line="360" w:lineRule="auto"/>
        <w:jc w:val="center"/>
        <w:rPr>
          <w:b/>
          <w:bCs/>
        </w:rPr>
      </w:pPr>
      <w:r>
        <w:rPr>
          <w:b/>
          <w:bCs/>
        </w:rPr>
        <w:t>Table 4:  K-Means Cluster Profiles of Bicycle Stations Based on Pickup Demand</w:t>
      </w:r>
    </w:p>
    <w:p w:rsidR="00BB7F11" w:rsidRDefault="00A947D5">
      <w:pPr>
        <w:spacing w:line="360" w:lineRule="auto"/>
      </w:pPr>
      <w:r>
        <w:t>The 231 low-demand stations warrant relative levels of monitoring as opposed to absolute intensive monitoring of all stations. On the other hand, the 131 medium-demand stations represent the highest aggregated demand and ought to make up the bulk of the ro</w:t>
      </w:r>
      <w:r>
        <w:t>utine rebalancing network. However, there are just 21 stations representing the high-demand stations. Notably, the average peak of these stations is almost eight times that of the low-demand stations. Thus, they require constant inventory and fast response</w:t>
      </w:r>
      <w:r>
        <w:t xml:space="preserve"> during peak times. Cluster classification is therefore descriptive and non-permanent and needs to be reviewed as the network continues to grow or as people change their travelling </w:t>
      </w:r>
      <w:proofErr w:type="spellStart"/>
      <w:r>
        <w:t>behaviour</w:t>
      </w:r>
      <w:proofErr w:type="spellEnd"/>
      <w:r>
        <w:t xml:space="preserve"> (</w:t>
      </w:r>
      <w:proofErr w:type="spellStart"/>
      <w:r>
        <w:t>Zamprogno</w:t>
      </w:r>
      <w:proofErr w:type="spellEnd"/>
      <w:r>
        <w:t xml:space="preserve"> and </w:t>
      </w:r>
      <w:proofErr w:type="spellStart"/>
      <w:r>
        <w:t>Esztergár</w:t>
      </w:r>
      <w:proofErr w:type="spellEnd"/>
      <w:r>
        <w:t>-Kiss, 2024). Consequently, the selection</w:t>
      </w:r>
      <w:r>
        <w:t xml:space="preserve"> of three clusters represents a management decision instead of an optimal mechanical one. Two clusters could </w:t>
      </w:r>
      <w:proofErr w:type="spellStart"/>
      <w:r>
        <w:t>maximise</w:t>
      </w:r>
      <w:proofErr w:type="spellEnd"/>
      <w:r>
        <w:t xml:space="preserve"> the separation but bring together medium and extreme locations and hence not </w:t>
      </w:r>
      <w:proofErr w:type="spellStart"/>
      <w:r>
        <w:t>prioritise</w:t>
      </w:r>
      <w:proofErr w:type="spellEnd"/>
      <w:r>
        <w:t xml:space="preserve"> stations properly. On the other hand, a three-clus</w:t>
      </w:r>
      <w:r>
        <w:t>ter solution maintains good separation and allows isolation of an important few. Since cluster labels are non-descriptive, centroid statistics were used to give them meanings of low, medium and high-demand respectively.</w:t>
      </w:r>
    </w:p>
    <w:p w:rsidR="00BB7F11" w:rsidRDefault="00A947D5">
      <w:pPr>
        <w:pStyle w:val="Heading1"/>
      </w:pPr>
      <w:bookmarkStart w:id="11" w:name="_heading=h.gxhx5qszb1fk" w:colFirst="0" w:colLast="0"/>
      <w:bookmarkEnd w:id="11"/>
      <w:r>
        <w:t>6. Time-series analysis and forecast</w:t>
      </w:r>
      <w:r>
        <w:t>ing</w:t>
      </w:r>
    </w:p>
    <w:p w:rsidR="00BB7F11" w:rsidRDefault="00A947D5">
      <w:pPr>
        <w:pStyle w:val="Heading2"/>
      </w:pPr>
      <w:bookmarkStart w:id="12" w:name="_heading=h.snmtecpp1gsu" w:colFirst="0" w:colLast="0"/>
      <w:bookmarkEnd w:id="12"/>
      <w:r>
        <w:t xml:space="preserve">6.1 Trend, Seasonality and </w:t>
      </w:r>
      <w:proofErr w:type="spellStart"/>
      <w:r>
        <w:t>Stationarity</w:t>
      </w:r>
      <w:proofErr w:type="spellEnd"/>
    </w:p>
    <w:p w:rsidR="00BB7F11" w:rsidRDefault="00A947D5">
      <w:pPr>
        <w:spacing w:line="360" w:lineRule="auto"/>
      </w:pPr>
      <w:r>
        <w:t>The time series exhibits growth over the long run, a consistent yearly cycle and a significant pronounced weekly cycle. Additive decomposition using period 7 has resulted in splitting up the observed time series into a growing trend, a regular weekly cycle</w:t>
      </w:r>
      <w:r>
        <w:t xml:space="preserve"> and an irregular component. The growing trend shows recovery and growth of the network, whereas the seasonal component represents the systematic weekly pattern of movement.</w:t>
      </w:r>
    </w:p>
    <w:p w:rsidR="00BB7F11" w:rsidRDefault="00A947D5">
      <w:pPr>
        <w:spacing w:line="360" w:lineRule="auto"/>
      </w:pPr>
      <w:r>
        <w:rPr>
          <w:noProof/>
          <w:lang w:val="en-IN"/>
        </w:rPr>
        <w:lastRenderedPageBreak/>
        <w:drawing>
          <wp:inline distT="0" distB="0" distL="0" distR="0">
            <wp:extent cx="5989320" cy="3938301"/>
            <wp:effectExtent l="0" t="0" r="0" b="0"/>
            <wp:docPr id="4" name="image4.png" descr="Figure 5. Additive weekly decomposition of daily pickups. Source: author’s analysis."/>
            <wp:cNvGraphicFramePr/>
            <a:graphic xmlns:a="http://schemas.openxmlformats.org/drawingml/2006/main">
              <a:graphicData uri="http://schemas.openxmlformats.org/drawingml/2006/picture">
                <pic:pic xmlns:pic="http://schemas.openxmlformats.org/drawingml/2006/picture">
                  <pic:nvPicPr>
                    <pic:cNvPr id="0" name="image4.png" descr="Figure 5. Additive weekly decomposition of daily pickups. Source: author’s analysis."/>
                    <pic:cNvPicPr preferRelativeResize="0"/>
                  </pic:nvPicPr>
                  <pic:blipFill>
                    <a:blip r:embed="rId13"/>
                    <a:srcRect/>
                    <a:stretch>
                      <a:fillRect/>
                    </a:stretch>
                  </pic:blipFill>
                  <pic:spPr>
                    <a:xfrm>
                      <a:off x="0" y="0"/>
                      <a:ext cx="5989320" cy="3938301"/>
                    </a:xfrm>
                    <a:prstGeom prst="rect">
                      <a:avLst/>
                    </a:prstGeom>
                    <a:ln/>
                  </pic:spPr>
                </pic:pic>
              </a:graphicData>
            </a:graphic>
          </wp:inline>
        </w:drawing>
      </w:r>
    </w:p>
    <w:p w:rsidR="00BB7F11" w:rsidRDefault="00A947D5">
      <w:pPr>
        <w:spacing w:line="360" w:lineRule="auto"/>
        <w:jc w:val="center"/>
        <w:rPr>
          <w:b/>
          <w:bCs/>
        </w:rPr>
      </w:pPr>
      <w:r>
        <w:rPr>
          <w:b/>
          <w:bCs/>
        </w:rPr>
        <w:t>Figure 5: Additive Weekly Decomposition of Daily Pickups</w:t>
      </w:r>
    </w:p>
    <w:p w:rsidR="002F008C" w:rsidRDefault="002F008C">
      <w:pPr>
        <w:spacing w:line="360" w:lineRule="auto"/>
      </w:pPr>
      <w:r w:rsidRPr="002F008C">
        <w:t>Augmented Dickey-Fuller testing did not reject a unit root for the level series (p=0.398) or log level (p=0.208). The first-differenced log series was stationary (ADF = −10.941, p&lt;0.001). This suggested d=1 as a statistical candidate, but differencing order was selected on genuine out-of-sample forecasting performance rather than the ADF test alone</w:t>
      </w:r>
      <w:r>
        <w:t xml:space="preserve"> (</w:t>
      </w:r>
      <w:proofErr w:type="spellStart"/>
      <w:r>
        <w:rPr>
          <w:color w:val="222222"/>
          <w:highlight w:val="white"/>
        </w:rPr>
        <w:t>Maitra</w:t>
      </w:r>
      <w:proofErr w:type="spellEnd"/>
      <w:r>
        <w:rPr>
          <w:color w:val="222222"/>
          <w:highlight w:val="white"/>
        </w:rPr>
        <w:t xml:space="preserve"> and </w:t>
      </w:r>
      <w:proofErr w:type="spellStart"/>
      <w:r>
        <w:rPr>
          <w:color w:val="222222"/>
          <w:highlight w:val="white"/>
        </w:rPr>
        <w:t>Politis</w:t>
      </w:r>
      <w:proofErr w:type="spellEnd"/>
      <w:r>
        <w:rPr>
          <w:color w:val="222222"/>
          <w:highlight w:val="white"/>
        </w:rPr>
        <w:t>, 2024</w:t>
      </w:r>
      <w:r>
        <w:t>).</w:t>
      </w:r>
    </w:p>
    <w:tbl>
      <w:tblPr>
        <w:tblStyle w:val="a2"/>
        <w:tblW w:w="93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60"/>
        <w:gridCol w:w="1800"/>
        <w:gridCol w:w="1512"/>
        <w:gridCol w:w="2088"/>
      </w:tblGrid>
      <w:tr w:rsidR="00BB7F11">
        <w:trPr>
          <w:jc w:val="center"/>
        </w:trPr>
        <w:tc>
          <w:tcPr>
            <w:tcW w:w="3960" w:type="dxa"/>
          </w:tcPr>
          <w:p w:rsidR="00BB7F11" w:rsidRDefault="00A947D5">
            <w:pPr>
              <w:spacing w:line="360" w:lineRule="auto"/>
              <w:rPr>
                <w:b/>
                <w:bCs/>
              </w:rPr>
            </w:pPr>
            <w:r>
              <w:rPr>
                <w:b/>
                <w:bCs/>
              </w:rPr>
              <w:t>Series</w:t>
            </w:r>
          </w:p>
        </w:tc>
        <w:tc>
          <w:tcPr>
            <w:tcW w:w="1800" w:type="dxa"/>
          </w:tcPr>
          <w:p w:rsidR="00BB7F11" w:rsidRDefault="00A947D5">
            <w:pPr>
              <w:spacing w:line="360" w:lineRule="auto"/>
              <w:rPr>
                <w:b/>
                <w:bCs/>
              </w:rPr>
            </w:pPr>
            <w:r>
              <w:rPr>
                <w:b/>
                <w:bCs/>
              </w:rPr>
              <w:t>ADF statistic</w:t>
            </w:r>
          </w:p>
        </w:tc>
        <w:tc>
          <w:tcPr>
            <w:tcW w:w="1512" w:type="dxa"/>
          </w:tcPr>
          <w:p w:rsidR="00BB7F11" w:rsidRDefault="00A947D5">
            <w:pPr>
              <w:spacing w:line="360" w:lineRule="auto"/>
              <w:rPr>
                <w:b/>
                <w:bCs/>
              </w:rPr>
            </w:pPr>
            <w:r>
              <w:rPr>
                <w:b/>
                <w:bCs/>
              </w:rPr>
              <w:t>p-value</w:t>
            </w:r>
          </w:p>
        </w:tc>
        <w:tc>
          <w:tcPr>
            <w:tcW w:w="2088" w:type="dxa"/>
          </w:tcPr>
          <w:p w:rsidR="00BB7F11" w:rsidRDefault="00A947D5">
            <w:pPr>
              <w:spacing w:line="360" w:lineRule="auto"/>
              <w:rPr>
                <w:b/>
                <w:bCs/>
              </w:rPr>
            </w:pPr>
            <w:r>
              <w:rPr>
                <w:b/>
                <w:bCs/>
              </w:rPr>
              <w:t>Decision at 5%</w:t>
            </w:r>
          </w:p>
        </w:tc>
      </w:tr>
      <w:tr w:rsidR="00BB7F11">
        <w:trPr>
          <w:jc w:val="center"/>
        </w:trPr>
        <w:tc>
          <w:tcPr>
            <w:tcW w:w="3960" w:type="dxa"/>
          </w:tcPr>
          <w:p w:rsidR="00BB7F11" w:rsidRDefault="00A947D5">
            <w:pPr>
              <w:spacing w:line="360" w:lineRule="auto"/>
            </w:pPr>
            <w:r>
              <w:t>Daily pickups</w:t>
            </w:r>
          </w:p>
        </w:tc>
        <w:tc>
          <w:tcPr>
            <w:tcW w:w="1800" w:type="dxa"/>
          </w:tcPr>
          <w:p w:rsidR="00BB7F11" w:rsidRDefault="00A947D5">
            <w:pPr>
              <w:spacing w:line="360" w:lineRule="auto"/>
            </w:pPr>
            <w:sdt>
              <w:sdtPr>
                <w:tag w:val="goog_rdk_7"/>
                <w:id w:val="-806948913"/>
              </w:sdtPr>
              <w:sdtEndPr/>
              <w:sdtContent>
                <w:r>
                  <w:rPr>
                    <w:rFonts w:ascii="Gungsuh" w:eastAsia="Gungsuh" w:hAnsi="Gungsuh" w:cs="Gungsuh"/>
                  </w:rPr>
                  <w:t>−</w:t>
                </w:r>
                <w:r>
                  <w:rPr>
                    <w:rFonts w:ascii="Gungsuh" w:eastAsia="Gungsuh" w:hAnsi="Gungsuh" w:cs="Gungsuh"/>
                  </w:rPr>
                  <w:t>1.764</w:t>
                </w:r>
              </w:sdtContent>
            </w:sdt>
          </w:p>
        </w:tc>
        <w:tc>
          <w:tcPr>
            <w:tcW w:w="1512" w:type="dxa"/>
          </w:tcPr>
          <w:p w:rsidR="00BB7F11" w:rsidRDefault="00A947D5">
            <w:pPr>
              <w:spacing w:line="360" w:lineRule="auto"/>
            </w:pPr>
            <w:r>
              <w:t>0.398</w:t>
            </w:r>
          </w:p>
        </w:tc>
        <w:tc>
          <w:tcPr>
            <w:tcW w:w="2088" w:type="dxa"/>
          </w:tcPr>
          <w:p w:rsidR="00BB7F11" w:rsidRDefault="00A947D5">
            <w:pPr>
              <w:spacing w:line="360" w:lineRule="auto"/>
            </w:pPr>
            <w:r>
              <w:t>Non-stationary</w:t>
            </w:r>
          </w:p>
        </w:tc>
      </w:tr>
      <w:tr w:rsidR="00BB7F11">
        <w:trPr>
          <w:jc w:val="center"/>
        </w:trPr>
        <w:tc>
          <w:tcPr>
            <w:tcW w:w="3960" w:type="dxa"/>
          </w:tcPr>
          <w:p w:rsidR="00BB7F11" w:rsidRDefault="00A947D5">
            <w:pPr>
              <w:spacing w:line="360" w:lineRule="auto"/>
            </w:pPr>
            <w:r>
              <w:t>Log daily pickups</w:t>
            </w:r>
          </w:p>
        </w:tc>
        <w:tc>
          <w:tcPr>
            <w:tcW w:w="1800" w:type="dxa"/>
          </w:tcPr>
          <w:p w:rsidR="00BB7F11" w:rsidRDefault="00A947D5">
            <w:pPr>
              <w:spacing w:line="360" w:lineRule="auto"/>
            </w:pPr>
            <w:sdt>
              <w:sdtPr>
                <w:tag w:val="goog_rdk_8"/>
                <w:id w:val="-2147011607"/>
              </w:sdtPr>
              <w:sdtEndPr/>
              <w:sdtContent>
                <w:r>
                  <w:rPr>
                    <w:rFonts w:ascii="Gungsuh" w:eastAsia="Gungsuh" w:hAnsi="Gungsuh" w:cs="Gungsuh"/>
                  </w:rPr>
                  <w:t>−</w:t>
                </w:r>
                <w:r>
                  <w:rPr>
                    <w:rFonts w:ascii="Gungsuh" w:eastAsia="Gungsuh" w:hAnsi="Gungsuh" w:cs="Gungsuh"/>
                  </w:rPr>
                  <w:t>2.196</w:t>
                </w:r>
              </w:sdtContent>
            </w:sdt>
          </w:p>
        </w:tc>
        <w:tc>
          <w:tcPr>
            <w:tcW w:w="1512" w:type="dxa"/>
          </w:tcPr>
          <w:p w:rsidR="00BB7F11" w:rsidRDefault="00A947D5">
            <w:pPr>
              <w:spacing w:line="360" w:lineRule="auto"/>
            </w:pPr>
            <w:r>
              <w:t>0.208</w:t>
            </w:r>
          </w:p>
        </w:tc>
        <w:tc>
          <w:tcPr>
            <w:tcW w:w="2088" w:type="dxa"/>
          </w:tcPr>
          <w:p w:rsidR="00BB7F11" w:rsidRDefault="00A947D5">
            <w:pPr>
              <w:spacing w:line="360" w:lineRule="auto"/>
            </w:pPr>
            <w:r>
              <w:t>Non-stationary</w:t>
            </w:r>
          </w:p>
        </w:tc>
      </w:tr>
      <w:tr w:rsidR="00BB7F11">
        <w:trPr>
          <w:jc w:val="center"/>
        </w:trPr>
        <w:tc>
          <w:tcPr>
            <w:tcW w:w="3960" w:type="dxa"/>
          </w:tcPr>
          <w:p w:rsidR="00BB7F11" w:rsidRDefault="00A947D5">
            <w:pPr>
              <w:spacing w:line="360" w:lineRule="auto"/>
            </w:pPr>
            <w:r>
              <w:t>First-differenced log pickups</w:t>
            </w:r>
          </w:p>
        </w:tc>
        <w:tc>
          <w:tcPr>
            <w:tcW w:w="1800" w:type="dxa"/>
          </w:tcPr>
          <w:p w:rsidR="00BB7F11" w:rsidRDefault="00A947D5">
            <w:pPr>
              <w:spacing w:line="360" w:lineRule="auto"/>
            </w:pPr>
            <w:sdt>
              <w:sdtPr>
                <w:tag w:val="goog_rdk_9"/>
                <w:id w:val="-421105487"/>
              </w:sdtPr>
              <w:sdtEndPr/>
              <w:sdtContent>
                <w:r>
                  <w:rPr>
                    <w:rFonts w:ascii="Gungsuh" w:eastAsia="Gungsuh" w:hAnsi="Gungsuh" w:cs="Gungsuh"/>
                  </w:rPr>
                  <w:t>−</w:t>
                </w:r>
                <w:r>
                  <w:rPr>
                    <w:rFonts w:ascii="Gungsuh" w:eastAsia="Gungsuh" w:hAnsi="Gungsuh" w:cs="Gungsuh"/>
                  </w:rPr>
                  <w:t>10.941</w:t>
                </w:r>
              </w:sdtContent>
            </w:sdt>
          </w:p>
        </w:tc>
        <w:tc>
          <w:tcPr>
            <w:tcW w:w="1512" w:type="dxa"/>
          </w:tcPr>
          <w:p w:rsidR="00BB7F11" w:rsidRDefault="00A947D5">
            <w:pPr>
              <w:spacing w:line="360" w:lineRule="auto"/>
            </w:pPr>
            <w:r>
              <w:t>&lt;0.001</w:t>
            </w:r>
          </w:p>
        </w:tc>
        <w:tc>
          <w:tcPr>
            <w:tcW w:w="2088" w:type="dxa"/>
          </w:tcPr>
          <w:p w:rsidR="00BB7F11" w:rsidRDefault="00A947D5">
            <w:pPr>
              <w:spacing w:line="360" w:lineRule="auto"/>
            </w:pPr>
            <w:r>
              <w:t>Stationary</w:t>
            </w:r>
          </w:p>
        </w:tc>
      </w:tr>
    </w:tbl>
    <w:p w:rsidR="00BB7F11" w:rsidRDefault="00A947D5">
      <w:pPr>
        <w:spacing w:line="360" w:lineRule="auto"/>
        <w:jc w:val="center"/>
        <w:rPr>
          <w:b/>
          <w:bCs/>
        </w:rPr>
      </w:pPr>
      <w:r>
        <w:rPr>
          <w:b/>
          <w:bCs/>
        </w:rPr>
        <w:t xml:space="preserve">Table 5: ADF Test Results for </w:t>
      </w:r>
      <w:proofErr w:type="spellStart"/>
      <w:r>
        <w:rPr>
          <w:b/>
          <w:bCs/>
        </w:rPr>
        <w:t>Stationarity</w:t>
      </w:r>
      <w:proofErr w:type="spellEnd"/>
      <w:r>
        <w:rPr>
          <w:b/>
          <w:bCs/>
        </w:rPr>
        <w:t xml:space="preserve"> of Daily Pickup Series</w:t>
      </w:r>
    </w:p>
    <w:p w:rsidR="00BB7F11" w:rsidRDefault="00A947D5">
      <w:pPr>
        <w:pStyle w:val="Heading2"/>
      </w:pPr>
      <w:bookmarkStart w:id="13" w:name="_heading=h.e1syjxrvwflc" w:colFirst="0" w:colLast="0"/>
      <w:bookmarkEnd w:id="13"/>
      <w:r>
        <w:t>6.2 SARIMAX Validation and Final Forecast</w:t>
      </w:r>
    </w:p>
    <w:p w:rsidR="00BB7F11" w:rsidRDefault="00A947D5">
      <w:pPr>
        <w:spacing w:line="360" w:lineRule="auto"/>
      </w:pPr>
      <w:r>
        <w:t xml:space="preserve">The selected SARIMAX approach allows for using autoregressive and moving average models with a weekly seasonality and exogenous </w:t>
      </w:r>
      <w:proofErr w:type="spellStart"/>
      <w:r>
        <w:t>regressors</w:t>
      </w:r>
      <w:proofErr w:type="spellEnd"/>
      <w:r>
        <w:t xml:space="preserve"> from the weather dataset (</w:t>
      </w:r>
      <w:proofErr w:type="spellStart"/>
      <w:r>
        <w:t>Alharbi</w:t>
      </w:r>
      <w:proofErr w:type="spellEnd"/>
      <w:r>
        <w:t xml:space="preserve"> and </w:t>
      </w:r>
      <w:proofErr w:type="spellStart"/>
      <w:r>
        <w:t>Csala</w:t>
      </w:r>
      <w:proofErr w:type="spellEnd"/>
      <w:r>
        <w:t>, 2022). The logarithmic transformation of the target variable followed by</w:t>
      </w:r>
      <w:r>
        <w:t xml:space="preserve"> the inverse transformation with the smearing correction factor was implemented to minimize the bias. The weather variables were standardized within each training fold.</w:t>
      </w:r>
    </w:p>
    <w:tbl>
      <w:tblPr>
        <w:tblStyle w:val="a3"/>
        <w:tblW w:w="986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28"/>
        <w:gridCol w:w="1368"/>
        <w:gridCol w:w="1368"/>
        <w:gridCol w:w="1224"/>
        <w:gridCol w:w="1008"/>
        <w:gridCol w:w="1368"/>
      </w:tblGrid>
      <w:tr w:rsidR="00BB7F11">
        <w:trPr>
          <w:jc w:val="center"/>
        </w:trPr>
        <w:tc>
          <w:tcPr>
            <w:tcW w:w="3528" w:type="dxa"/>
          </w:tcPr>
          <w:p w:rsidR="00BB7F11" w:rsidRDefault="00A947D5">
            <w:pPr>
              <w:spacing w:line="360" w:lineRule="auto"/>
              <w:rPr>
                <w:b/>
                <w:bCs/>
              </w:rPr>
            </w:pPr>
            <w:r>
              <w:rPr>
                <w:b/>
                <w:bCs/>
              </w:rPr>
              <w:lastRenderedPageBreak/>
              <w:t>Model</w:t>
            </w:r>
          </w:p>
        </w:tc>
        <w:tc>
          <w:tcPr>
            <w:tcW w:w="1368" w:type="dxa"/>
          </w:tcPr>
          <w:p w:rsidR="00BB7F11" w:rsidRDefault="00A947D5">
            <w:pPr>
              <w:spacing w:line="360" w:lineRule="auto"/>
              <w:rPr>
                <w:b/>
                <w:bCs/>
              </w:rPr>
            </w:pPr>
            <w:r>
              <w:rPr>
                <w:b/>
                <w:bCs/>
              </w:rPr>
              <w:t>MAE</w:t>
            </w:r>
          </w:p>
        </w:tc>
        <w:tc>
          <w:tcPr>
            <w:tcW w:w="1368" w:type="dxa"/>
          </w:tcPr>
          <w:p w:rsidR="00BB7F11" w:rsidRDefault="00A947D5">
            <w:pPr>
              <w:spacing w:line="360" w:lineRule="auto"/>
              <w:rPr>
                <w:b/>
                <w:bCs/>
              </w:rPr>
            </w:pPr>
            <w:r>
              <w:rPr>
                <w:b/>
                <w:bCs/>
              </w:rPr>
              <w:t>RMSE</w:t>
            </w:r>
          </w:p>
        </w:tc>
        <w:tc>
          <w:tcPr>
            <w:tcW w:w="1224" w:type="dxa"/>
          </w:tcPr>
          <w:p w:rsidR="00BB7F11" w:rsidRDefault="00A947D5">
            <w:pPr>
              <w:spacing w:line="360" w:lineRule="auto"/>
              <w:rPr>
                <w:b/>
                <w:bCs/>
              </w:rPr>
            </w:pPr>
            <w:r>
              <w:rPr>
                <w:b/>
                <w:bCs/>
              </w:rPr>
              <w:t>MAPE</w:t>
            </w:r>
          </w:p>
        </w:tc>
        <w:tc>
          <w:tcPr>
            <w:tcW w:w="1008" w:type="dxa"/>
          </w:tcPr>
          <w:p w:rsidR="00BB7F11" w:rsidRDefault="00A947D5">
            <w:pPr>
              <w:spacing w:line="360" w:lineRule="auto"/>
              <w:rPr>
                <w:b/>
                <w:bCs/>
              </w:rPr>
            </w:pPr>
            <w:r>
              <w:rPr>
                <w:b/>
                <w:bCs/>
              </w:rPr>
              <w:t>R²</w:t>
            </w:r>
          </w:p>
        </w:tc>
        <w:tc>
          <w:tcPr>
            <w:tcW w:w="1368" w:type="dxa"/>
          </w:tcPr>
          <w:p w:rsidR="00BB7F11" w:rsidRDefault="00A947D5">
            <w:pPr>
              <w:spacing w:line="360" w:lineRule="auto"/>
              <w:rPr>
                <w:b/>
                <w:bCs/>
              </w:rPr>
            </w:pPr>
            <w:r>
              <w:rPr>
                <w:b/>
                <w:bCs/>
              </w:rPr>
              <w:t>Mean error</w:t>
            </w:r>
          </w:p>
        </w:tc>
      </w:tr>
      <w:tr w:rsidR="00BB7F11">
        <w:trPr>
          <w:jc w:val="center"/>
        </w:trPr>
        <w:tc>
          <w:tcPr>
            <w:tcW w:w="3528" w:type="dxa"/>
          </w:tcPr>
          <w:p w:rsidR="00BB7F11" w:rsidRDefault="00A947D5">
            <w:pPr>
              <w:spacing w:line="360" w:lineRule="auto"/>
            </w:pPr>
            <w:r>
              <w:t>SARIMAX (1,0,1)(1,0,1)₇</w:t>
            </w:r>
          </w:p>
        </w:tc>
        <w:tc>
          <w:tcPr>
            <w:tcW w:w="1368" w:type="dxa"/>
          </w:tcPr>
          <w:p w:rsidR="00BB7F11" w:rsidRDefault="00A947D5">
            <w:pPr>
              <w:spacing w:line="360" w:lineRule="auto"/>
            </w:pPr>
            <w:r>
              <w:t>2,191.88</w:t>
            </w:r>
          </w:p>
        </w:tc>
        <w:tc>
          <w:tcPr>
            <w:tcW w:w="1368" w:type="dxa"/>
          </w:tcPr>
          <w:p w:rsidR="00BB7F11" w:rsidRDefault="00A947D5">
            <w:pPr>
              <w:spacing w:line="360" w:lineRule="auto"/>
            </w:pPr>
            <w:r>
              <w:t>2,792.58</w:t>
            </w:r>
          </w:p>
        </w:tc>
        <w:tc>
          <w:tcPr>
            <w:tcW w:w="1224" w:type="dxa"/>
          </w:tcPr>
          <w:p w:rsidR="00BB7F11" w:rsidRDefault="00A947D5">
            <w:pPr>
              <w:spacing w:line="360" w:lineRule="auto"/>
            </w:pPr>
            <w:r>
              <w:t>21.10%</w:t>
            </w:r>
          </w:p>
        </w:tc>
        <w:tc>
          <w:tcPr>
            <w:tcW w:w="1008" w:type="dxa"/>
          </w:tcPr>
          <w:p w:rsidR="00BB7F11" w:rsidRDefault="00A947D5">
            <w:pPr>
              <w:spacing w:line="360" w:lineRule="auto"/>
            </w:pPr>
            <w:r>
              <w:t>0.5</w:t>
            </w:r>
            <w:r>
              <w:t>38</w:t>
            </w:r>
          </w:p>
        </w:tc>
        <w:tc>
          <w:tcPr>
            <w:tcW w:w="1368" w:type="dxa"/>
          </w:tcPr>
          <w:p w:rsidR="00BB7F11" w:rsidRDefault="00A947D5">
            <w:pPr>
              <w:spacing w:line="360" w:lineRule="auto"/>
            </w:pPr>
            <w:sdt>
              <w:sdtPr>
                <w:tag w:val="goog_rdk_10"/>
                <w:id w:val="-2036381868"/>
              </w:sdtPr>
              <w:sdtEndPr/>
              <w:sdtContent>
                <w:r>
                  <w:rPr>
                    <w:rFonts w:ascii="Gungsuh" w:eastAsia="Gungsuh" w:hAnsi="Gungsuh" w:cs="Gungsuh"/>
                  </w:rPr>
                  <w:t>−</w:t>
                </w:r>
                <w:r>
                  <w:rPr>
                    <w:rFonts w:ascii="Gungsuh" w:eastAsia="Gungsuh" w:hAnsi="Gungsuh" w:cs="Gungsuh"/>
                  </w:rPr>
                  <w:t>77.09</w:t>
                </w:r>
              </w:sdtContent>
            </w:sdt>
          </w:p>
        </w:tc>
      </w:tr>
      <w:tr w:rsidR="00BB7F11">
        <w:trPr>
          <w:jc w:val="center"/>
        </w:trPr>
        <w:tc>
          <w:tcPr>
            <w:tcW w:w="3528" w:type="dxa"/>
          </w:tcPr>
          <w:p w:rsidR="00BB7F11" w:rsidRDefault="00A947D5">
            <w:pPr>
              <w:spacing w:line="360" w:lineRule="auto"/>
            </w:pPr>
            <w:r>
              <w:t>SARIMAX (1,1,1)(1,0,1)₇</w:t>
            </w:r>
          </w:p>
        </w:tc>
        <w:tc>
          <w:tcPr>
            <w:tcW w:w="1368" w:type="dxa"/>
          </w:tcPr>
          <w:p w:rsidR="00BB7F11" w:rsidRDefault="00A947D5">
            <w:pPr>
              <w:spacing w:line="360" w:lineRule="auto"/>
            </w:pPr>
            <w:r>
              <w:t>2,434.56</w:t>
            </w:r>
          </w:p>
        </w:tc>
        <w:tc>
          <w:tcPr>
            <w:tcW w:w="1368" w:type="dxa"/>
          </w:tcPr>
          <w:p w:rsidR="00BB7F11" w:rsidRDefault="00A947D5">
            <w:pPr>
              <w:spacing w:line="360" w:lineRule="auto"/>
            </w:pPr>
            <w:r>
              <w:t>3,124.24</w:t>
            </w:r>
          </w:p>
        </w:tc>
        <w:tc>
          <w:tcPr>
            <w:tcW w:w="1224" w:type="dxa"/>
          </w:tcPr>
          <w:p w:rsidR="00BB7F11" w:rsidRDefault="00A947D5">
            <w:pPr>
              <w:spacing w:line="360" w:lineRule="auto"/>
            </w:pPr>
            <w:r>
              <w:t>24.51%</w:t>
            </w:r>
          </w:p>
        </w:tc>
        <w:tc>
          <w:tcPr>
            <w:tcW w:w="1008" w:type="dxa"/>
          </w:tcPr>
          <w:p w:rsidR="00BB7F11" w:rsidRDefault="00A947D5">
            <w:pPr>
              <w:spacing w:line="360" w:lineRule="auto"/>
            </w:pPr>
            <w:r>
              <w:t>0.422</w:t>
            </w:r>
          </w:p>
        </w:tc>
        <w:tc>
          <w:tcPr>
            <w:tcW w:w="1368" w:type="dxa"/>
          </w:tcPr>
          <w:p w:rsidR="00BB7F11" w:rsidRDefault="00A947D5">
            <w:pPr>
              <w:spacing w:line="360" w:lineRule="auto"/>
            </w:pPr>
            <w:r>
              <w:t>854.74</w:t>
            </w:r>
          </w:p>
        </w:tc>
      </w:tr>
    </w:tbl>
    <w:p w:rsidR="00BB7F11" w:rsidRDefault="00A947D5">
      <w:pPr>
        <w:spacing w:line="360" w:lineRule="auto"/>
        <w:jc w:val="center"/>
        <w:rPr>
          <w:b/>
          <w:bCs/>
        </w:rPr>
      </w:pPr>
      <w:r>
        <w:rPr>
          <w:b/>
          <w:bCs/>
        </w:rPr>
        <w:t>Table 6: Comparison of SARIMAX Model Specifications</w:t>
      </w:r>
    </w:p>
    <w:p w:rsidR="00BB7F11" w:rsidRDefault="00A947D5">
      <w:pPr>
        <w:spacing w:line="360" w:lineRule="auto"/>
      </w:pPr>
      <w:r>
        <w:t>The d = 0 specification was selected because it achieved lower MAE, RMSE and MAPE, higher R² and substantially smaller mean error (</w:t>
      </w:r>
      <w:proofErr w:type="spellStart"/>
      <w:r>
        <w:rPr>
          <w:color w:val="222222"/>
          <w:highlight w:val="white"/>
        </w:rPr>
        <w:t>Maciejowska</w:t>
      </w:r>
      <w:proofErr w:type="spellEnd"/>
      <w:r>
        <w:rPr>
          <w:color w:val="222222"/>
          <w:highlight w:val="white"/>
        </w:rPr>
        <w:t xml:space="preserve"> </w:t>
      </w:r>
      <w:r>
        <w:rPr>
          <w:i/>
          <w:iCs/>
          <w:color w:val="222222"/>
          <w:highlight w:val="white"/>
        </w:rPr>
        <w:t>et al.,</w:t>
      </w:r>
      <w:r>
        <w:rPr>
          <w:color w:val="222222"/>
          <w:highlight w:val="white"/>
        </w:rPr>
        <w:t xml:space="preserve"> 2026</w:t>
      </w:r>
      <w:r>
        <w:t xml:space="preserve">). Thus, despite </w:t>
      </w:r>
      <w:proofErr w:type="spellStart"/>
      <w:r>
        <w:t>stationarity</w:t>
      </w:r>
      <w:proofErr w:type="spellEnd"/>
      <w:r>
        <w:t xml:space="preserve"> after first differencing, differencing reduced forecast accuracy in thi</w:t>
      </w:r>
      <w:r>
        <w:t>s validation design. The winning model also significantly outperformed last-value and weekly-naïve benchmarks in Diebold-Mariano comparisons (p=0.028 and p=0.001) (</w:t>
      </w:r>
      <w:proofErr w:type="spellStart"/>
      <w:r>
        <w:rPr>
          <w:color w:val="222222"/>
          <w:highlight w:val="white"/>
        </w:rPr>
        <w:t>Fawaz</w:t>
      </w:r>
      <w:proofErr w:type="spellEnd"/>
      <w:r>
        <w:rPr>
          <w:color w:val="222222"/>
          <w:highlight w:val="white"/>
        </w:rPr>
        <w:t xml:space="preserve"> </w:t>
      </w:r>
      <w:r>
        <w:rPr>
          <w:i/>
          <w:iCs/>
          <w:color w:val="222222"/>
          <w:highlight w:val="white"/>
        </w:rPr>
        <w:t>et al</w:t>
      </w:r>
      <w:r>
        <w:rPr>
          <w:color w:val="222222"/>
          <w:highlight w:val="white"/>
        </w:rPr>
        <w:t>., 2022</w:t>
      </w:r>
      <w:r>
        <w:t>). This is strong evidence that weather and dynamic structure add practica</w:t>
      </w:r>
      <w:r>
        <w:t>l predictive value.</w:t>
      </w:r>
    </w:p>
    <w:p w:rsidR="00BB7F11" w:rsidRDefault="00A947D5">
      <w:pPr>
        <w:spacing w:line="360" w:lineRule="auto"/>
        <w:jc w:val="center"/>
      </w:pPr>
      <w:r>
        <w:rPr>
          <w:noProof/>
          <w:lang w:val="en-IN"/>
        </w:rPr>
        <w:drawing>
          <wp:inline distT="0" distB="0" distL="0" distR="0">
            <wp:extent cx="6080760" cy="2590791"/>
            <wp:effectExtent l="0" t="0" r="0" b="0"/>
            <wp:docPr id="7" name="image8.png" descr="Figure 6. Thirty-day rolling-origin validation for the selected SARIMAX model. Source: author’s analysis."/>
            <wp:cNvGraphicFramePr/>
            <a:graphic xmlns:a="http://schemas.openxmlformats.org/drawingml/2006/main">
              <a:graphicData uri="http://schemas.openxmlformats.org/drawingml/2006/picture">
                <pic:pic xmlns:pic="http://schemas.openxmlformats.org/drawingml/2006/picture">
                  <pic:nvPicPr>
                    <pic:cNvPr id="0" name="image8.png" descr="Figure 6. Thirty-day rolling-origin validation for the selected SARIMAX model. Source: author’s analysis."/>
                    <pic:cNvPicPr preferRelativeResize="0"/>
                  </pic:nvPicPr>
                  <pic:blipFill>
                    <a:blip r:embed="rId14"/>
                    <a:srcRect/>
                    <a:stretch>
                      <a:fillRect/>
                    </a:stretch>
                  </pic:blipFill>
                  <pic:spPr>
                    <a:xfrm>
                      <a:off x="0" y="0"/>
                      <a:ext cx="6080760" cy="2590791"/>
                    </a:xfrm>
                    <a:prstGeom prst="rect">
                      <a:avLst/>
                    </a:prstGeom>
                    <a:ln/>
                  </pic:spPr>
                </pic:pic>
              </a:graphicData>
            </a:graphic>
          </wp:inline>
        </w:drawing>
      </w:r>
    </w:p>
    <w:p w:rsidR="00BB7F11" w:rsidRDefault="00A947D5">
      <w:pPr>
        <w:spacing w:line="360" w:lineRule="auto"/>
        <w:jc w:val="center"/>
        <w:rPr>
          <w:b/>
          <w:bCs/>
        </w:rPr>
      </w:pPr>
      <w:r>
        <w:rPr>
          <w:b/>
          <w:bCs/>
        </w:rPr>
        <w:t>Figure 6: Thirty-Day Rolling-Origin Validation for the Selected SARIMAX model</w:t>
      </w:r>
    </w:p>
    <w:p w:rsidR="00BB7F11" w:rsidRDefault="00A947D5">
      <w:pPr>
        <w:spacing w:line="360" w:lineRule="auto"/>
      </w:pPr>
      <w:r>
        <w:t xml:space="preserve">The residual diagnostic shows deficiencies in addition, as the residual mean is nearly equal to zero (0.0077). However, </w:t>
      </w:r>
      <w:proofErr w:type="spellStart"/>
      <w:r>
        <w:t>Ljung</w:t>
      </w:r>
      <w:proofErr w:type="spellEnd"/>
      <w:r>
        <w:t>-Box test results show statisti</w:t>
      </w:r>
      <w:r>
        <w:t xml:space="preserve">cal significance for lags 7, 14, 21 and 28, which means that there is a serial correlation. </w:t>
      </w:r>
      <w:proofErr w:type="spellStart"/>
      <w:r>
        <w:t>Jarque-Bera</w:t>
      </w:r>
      <w:proofErr w:type="spellEnd"/>
      <w:r>
        <w:t xml:space="preserve"> and ARCH tests were also significant (p&lt;0.001) showing non-normality and time-varying variance (</w:t>
      </w:r>
      <w:proofErr w:type="spellStart"/>
      <w:r>
        <w:rPr>
          <w:color w:val="222222"/>
          <w:highlight w:val="white"/>
        </w:rPr>
        <w:t>Glinskiy</w:t>
      </w:r>
      <w:proofErr w:type="spellEnd"/>
      <w:r>
        <w:rPr>
          <w:color w:val="222222"/>
          <w:highlight w:val="white"/>
        </w:rPr>
        <w:t xml:space="preserve"> </w:t>
      </w:r>
      <w:r>
        <w:rPr>
          <w:i/>
          <w:iCs/>
          <w:color w:val="222222"/>
          <w:highlight w:val="white"/>
        </w:rPr>
        <w:t>et al.</w:t>
      </w:r>
      <w:r>
        <w:rPr>
          <w:color w:val="222222"/>
          <w:highlight w:val="white"/>
        </w:rPr>
        <w:t>, 2024</w:t>
      </w:r>
      <w:r>
        <w:t>). The model is therefore useful fo</w:t>
      </w:r>
      <w:r>
        <w:t>r central demand forecasts but its uncertainty should not be treated as perfectly calibrated. Prediction intervals were constructed empirically from rolling-validation log errors to reflect observed out-of-sample dispersion.</w:t>
      </w:r>
    </w:p>
    <w:p w:rsidR="00BB7F11" w:rsidRDefault="00A947D5">
      <w:pPr>
        <w:spacing w:line="360" w:lineRule="auto"/>
        <w:jc w:val="center"/>
      </w:pPr>
      <w:r>
        <w:rPr>
          <w:noProof/>
          <w:lang w:val="en-IN"/>
        </w:rPr>
        <w:lastRenderedPageBreak/>
        <w:drawing>
          <wp:inline distT="0" distB="0" distL="0" distR="0">
            <wp:extent cx="5669280" cy="3625892"/>
            <wp:effectExtent l="0" t="0" r="0" b="0"/>
            <wp:docPr id="6" name="image3.png" descr="Figure 7. Residual diagnostics for the selected time-series specification. Source: author’s analysis."/>
            <wp:cNvGraphicFramePr/>
            <a:graphic xmlns:a="http://schemas.openxmlformats.org/drawingml/2006/main">
              <a:graphicData uri="http://schemas.openxmlformats.org/drawingml/2006/picture">
                <pic:pic xmlns:pic="http://schemas.openxmlformats.org/drawingml/2006/picture">
                  <pic:nvPicPr>
                    <pic:cNvPr id="0" name="image3.png" descr="Figure 7. Residual diagnostics for the selected time-series specification. Source: author’s analysis."/>
                    <pic:cNvPicPr preferRelativeResize="0"/>
                  </pic:nvPicPr>
                  <pic:blipFill>
                    <a:blip r:embed="rId15"/>
                    <a:srcRect/>
                    <a:stretch>
                      <a:fillRect/>
                    </a:stretch>
                  </pic:blipFill>
                  <pic:spPr>
                    <a:xfrm>
                      <a:off x="0" y="0"/>
                      <a:ext cx="5669280" cy="3625892"/>
                    </a:xfrm>
                    <a:prstGeom prst="rect">
                      <a:avLst/>
                    </a:prstGeom>
                    <a:ln/>
                  </pic:spPr>
                </pic:pic>
              </a:graphicData>
            </a:graphic>
          </wp:inline>
        </w:drawing>
      </w:r>
    </w:p>
    <w:p w:rsidR="00BB7F11" w:rsidRDefault="00A947D5">
      <w:pPr>
        <w:spacing w:line="360" w:lineRule="auto"/>
        <w:jc w:val="center"/>
        <w:rPr>
          <w:b/>
          <w:bCs/>
        </w:rPr>
      </w:pPr>
      <w:r>
        <w:rPr>
          <w:b/>
          <w:bCs/>
        </w:rPr>
        <w:t>Figure 7: Residual diagnostic</w:t>
      </w:r>
      <w:r>
        <w:rPr>
          <w:b/>
          <w:bCs/>
        </w:rPr>
        <w:t>s for the selected time-series specification.</w:t>
      </w:r>
    </w:p>
    <w:p w:rsidR="00BB7F11" w:rsidRDefault="00A947D5">
      <w:pPr>
        <w:spacing w:line="360" w:lineRule="auto"/>
      </w:pPr>
      <w:r>
        <w:t>This model was then estimated for all 1584 days and projected 1 to 30 September 2024 based on historical weather in September. Daily point forecasts range from 8147 to 17147 trips. The mean forecast is around 1</w:t>
      </w:r>
      <w:r>
        <w:t xml:space="preserve">3086 trips per </w:t>
      </w:r>
      <w:proofErr w:type="gramStart"/>
      <w:r>
        <w:t>day,</w:t>
      </w:r>
      <w:proofErr w:type="gramEnd"/>
      <w:r>
        <w:t xml:space="preserve"> or 392573 trips in total for the month. The intervals are large and 1 September forecast is 14365 with an empirical 95% interval of 8225 to 22102. This again underscores the necessity of planning based on scenarios rather than precise p</w:t>
      </w:r>
      <w:r>
        <w:t xml:space="preserve">redictions. While the use of climatological weather is justified for illustrating a forecast in the future where real exogenous forecasts are not available, it implies that all outcomes are conditional on average historical September weather. The operator </w:t>
      </w:r>
      <w:r>
        <w:t>would use current weather forecasts and run the model on a daily basis. It is important to monitor forecast accuracy by horizon, as a model might be accurate only for several days into the future.</w:t>
      </w:r>
    </w:p>
    <w:p w:rsidR="00BB7F11" w:rsidRDefault="00A947D5">
      <w:pPr>
        <w:spacing w:line="360" w:lineRule="auto"/>
      </w:pPr>
      <w:r>
        <w:rPr>
          <w:noProof/>
          <w:lang w:val="en-IN"/>
        </w:rPr>
        <w:lastRenderedPageBreak/>
        <w:drawing>
          <wp:inline distT="0" distB="0" distL="0" distR="0">
            <wp:extent cx="5989320" cy="2544060"/>
            <wp:effectExtent l="0" t="0" r="0" b="0"/>
            <wp:docPr id="8" name="image6.png" descr="Figure 8. Final 30-day SARIMAX forecast with empirical 95% prediction intervals. Source: author’s analysis."/>
            <wp:cNvGraphicFramePr/>
            <a:graphic xmlns:a="http://schemas.openxmlformats.org/drawingml/2006/main">
              <a:graphicData uri="http://schemas.openxmlformats.org/drawingml/2006/picture">
                <pic:pic xmlns:pic="http://schemas.openxmlformats.org/drawingml/2006/picture">
                  <pic:nvPicPr>
                    <pic:cNvPr id="0" name="image6.png" descr="Figure 8. Final 30-day SARIMAX forecast with empirical 95% prediction intervals. Source: author’s analysis."/>
                    <pic:cNvPicPr preferRelativeResize="0"/>
                  </pic:nvPicPr>
                  <pic:blipFill>
                    <a:blip r:embed="rId16"/>
                    <a:srcRect/>
                    <a:stretch>
                      <a:fillRect/>
                    </a:stretch>
                  </pic:blipFill>
                  <pic:spPr>
                    <a:xfrm>
                      <a:off x="0" y="0"/>
                      <a:ext cx="5989320" cy="2544060"/>
                    </a:xfrm>
                    <a:prstGeom prst="rect">
                      <a:avLst/>
                    </a:prstGeom>
                    <a:ln/>
                  </pic:spPr>
                </pic:pic>
              </a:graphicData>
            </a:graphic>
          </wp:inline>
        </w:drawing>
      </w:r>
    </w:p>
    <w:p w:rsidR="00BB7F11" w:rsidRDefault="00A947D5">
      <w:pPr>
        <w:spacing w:line="360" w:lineRule="auto"/>
        <w:jc w:val="center"/>
        <w:rPr>
          <w:b/>
          <w:bCs/>
        </w:rPr>
      </w:pPr>
      <w:r>
        <w:rPr>
          <w:b/>
          <w:bCs/>
        </w:rPr>
        <w:t>Figure 8: Final 30-Day SARIMAX Forecast with Empirical 95</w:t>
      </w:r>
      <w:r>
        <w:rPr>
          <w:b/>
          <w:bCs/>
        </w:rPr>
        <w:t>% Prediction Intervals</w:t>
      </w:r>
    </w:p>
    <w:p w:rsidR="00BB7F11" w:rsidRDefault="00A947D5">
      <w:pPr>
        <w:pStyle w:val="Heading1"/>
      </w:pPr>
      <w:bookmarkStart w:id="14" w:name="_heading=h.dkev3r2qgra7" w:colFirst="0" w:colLast="0"/>
      <w:bookmarkEnd w:id="14"/>
      <w:r>
        <w:t>7. Recommendations and evaluation</w:t>
      </w:r>
    </w:p>
    <w:p w:rsidR="00BB7F11" w:rsidRDefault="00A947D5">
      <w:pPr>
        <w:spacing w:line="360" w:lineRule="auto"/>
      </w:pPr>
      <w:r>
        <w:t>Linear regression was chosen as the main model for daily planning because it had the minimum holdout error and was still interpretable (</w:t>
      </w:r>
      <w:proofErr w:type="spellStart"/>
      <w:r>
        <w:rPr>
          <w:color w:val="222222"/>
          <w:highlight w:val="white"/>
        </w:rPr>
        <w:t>McAlinn</w:t>
      </w:r>
      <w:proofErr w:type="spellEnd"/>
      <w:r>
        <w:rPr>
          <w:color w:val="222222"/>
          <w:highlight w:val="white"/>
        </w:rPr>
        <w:t xml:space="preserve"> and </w:t>
      </w:r>
      <w:proofErr w:type="spellStart"/>
      <w:r>
        <w:rPr>
          <w:color w:val="222222"/>
          <w:highlight w:val="white"/>
        </w:rPr>
        <w:t>Takanashi</w:t>
      </w:r>
      <w:proofErr w:type="spellEnd"/>
      <w:r>
        <w:rPr>
          <w:color w:val="222222"/>
          <w:highlight w:val="white"/>
        </w:rPr>
        <w:t>, 2025</w:t>
      </w:r>
      <w:r>
        <w:t>). Refresh the model monthly and com</w:t>
      </w:r>
      <w:r>
        <w:t>pare the RMSE and R-squared with those of the depth-8 tree to have an estimate of performance against the control. Translate weather forecasts into triggers for deploying and balancing. Days characterized by good weather with sunshine and visibility warran</w:t>
      </w:r>
      <w:r>
        <w:t xml:space="preserve">t increased bicycle supply, while heavy rainfall and strong winds suggest a conservative approach in deploying the bicycles. Provide differentiated service level by cluster. Observe stations with high demand intraday and pre-position bicycles ahead of the </w:t>
      </w:r>
      <w:r>
        <w:t xml:space="preserve">high demand, rebalance stations with medium demand regularly using routes, and send alerts to low-demand stations. For tactical planning for 30 days ahead, use SARIMAX, but provide the forecast interval along with each forecast point. Maintain contingency </w:t>
      </w:r>
      <w:r>
        <w:t xml:space="preserve">capacity because the residuals' autocorrelation, non-normality, and </w:t>
      </w:r>
      <w:proofErr w:type="spellStart"/>
      <w:r>
        <w:t>Heteroskedasticity</w:t>
      </w:r>
      <w:proofErr w:type="spellEnd"/>
      <w:r>
        <w:t xml:space="preserve"> mean that strange days are not predictable enough. Create a monthly dashboard that includes error from the model, residual drift, cluster change, station out-of-stock an</w:t>
      </w:r>
      <w:r>
        <w:t xml:space="preserve">d weather forecast error. If there is an increase in the error or a change in the clusters, then retrain or </w:t>
      </w:r>
      <w:proofErr w:type="spellStart"/>
      <w:r>
        <w:t>respecify</w:t>
      </w:r>
      <w:proofErr w:type="spellEnd"/>
      <w:r>
        <w:t xml:space="preserve"> the model. The usage of business needs to match the analytical scope. In this case, regression and SARIMAX models forecast the picks at th</w:t>
      </w:r>
      <w:r>
        <w:t>e system level, while clustering helps to classify the stations according to their demands regardless of the capacity, geographical location or vehicle travel cost (</w:t>
      </w:r>
      <w:proofErr w:type="spellStart"/>
      <w:r>
        <w:t>Zadeh</w:t>
      </w:r>
      <w:proofErr w:type="spellEnd"/>
      <w:r>
        <w:t xml:space="preserve"> </w:t>
      </w:r>
      <w:r>
        <w:rPr>
          <w:i/>
          <w:iCs/>
        </w:rPr>
        <w:t>et al</w:t>
      </w:r>
      <w:r>
        <w:t>. 2025). Operational improvement will include station capacity, member type, hol</w:t>
      </w:r>
      <w:r>
        <w:t>idays, public events, subway problems and real-time stock.</w:t>
      </w:r>
    </w:p>
    <w:p w:rsidR="00BB7F11" w:rsidRDefault="00A947D5">
      <w:pPr>
        <w:pStyle w:val="Heading1"/>
      </w:pPr>
      <w:bookmarkStart w:id="15" w:name="_heading=h.vtvwab7dnyxr" w:colFirst="0" w:colLast="0"/>
      <w:bookmarkEnd w:id="15"/>
      <w:r>
        <w:lastRenderedPageBreak/>
        <w:t>8. Conclusion</w:t>
      </w:r>
    </w:p>
    <w:p w:rsidR="00BB7F11" w:rsidRDefault="00A947D5">
      <w:pPr>
        <w:spacing w:line="360" w:lineRule="auto"/>
      </w:pPr>
      <w:r>
        <w:t>This project meets the necessary sequence of exploratory data analysis, multi-</w:t>
      </w:r>
      <w:proofErr w:type="spellStart"/>
      <w:r>
        <w:t>variate</w:t>
      </w:r>
      <w:proofErr w:type="spellEnd"/>
      <w:r>
        <w:t xml:space="preserve"> prediction, </w:t>
      </w:r>
      <w:proofErr w:type="spellStart"/>
      <w:r>
        <w:t>hyperparameters</w:t>
      </w:r>
      <w:proofErr w:type="spellEnd"/>
      <w:r>
        <w:t>’ comparison, clustering and time series forecasting through two corre</w:t>
      </w:r>
      <w:r>
        <w:t xml:space="preserve">lated datasets. Demand is seasonal, weather-dependent and growing over time. In a fair chronological test, linear regression beat all decision tree </w:t>
      </w:r>
      <w:proofErr w:type="spellStart"/>
      <w:r>
        <w:t>regressors</w:t>
      </w:r>
      <w:proofErr w:type="spellEnd"/>
      <w:r>
        <w:t xml:space="preserve"> by showing that a good additive model identified the underlying daily patterns correctly. Three c</w:t>
      </w:r>
      <w:r>
        <w:t xml:space="preserve">luster stations helped make a sensible differentiation among low, medium and high demand stations. Finally, the rolling origin validation method chose the </w:t>
      </w:r>
      <w:proofErr w:type="spellStart"/>
      <w:r>
        <w:t>undifferenced</w:t>
      </w:r>
      <w:proofErr w:type="spellEnd"/>
      <w:r>
        <w:t xml:space="preserve"> weather-enhanced SARIMAX model even though the ADF test suggested that </w:t>
      </w:r>
      <w:proofErr w:type="spellStart"/>
      <w:r>
        <w:t>stationarity</w:t>
      </w:r>
      <w:proofErr w:type="spellEnd"/>
      <w:r>
        <w:t xml:space="preserve"> occ</w:t>
      </w:r>
      <w:r>
        <w:t>urs when differencing is applied. It shows the necessity of choosing operational models according to their out-of-sample performance. The proposed solution includes predictable daily forecasting, appropriate station management and interval-based time serie</w:t>
      </w:r>
      <w:r>
        <w:t>s planning.</w:t>
      </w:r>
    </w:p>
    <w:p w:rsidR="00BB7F11" w:rsidRDefault="00A947D5">
      <w:pPr>
        <w:spacing w:line="360" w:lineRule="auto"/>
      </w:pPr>
      <w:r>
        <w:br w:type="page"/>
      </w:r>
    </w:p>
    <w:p w:rsidR="00BB7F11" w:rsidRDefault="00A947D5">
      <w:pPr>
        <w:pStyle w:val="Heading1"/>
      </w:pPr>
      <w:bookmarkStart w:id="16" w:name="_heading=h.x8xlj0us3291" w:colFirst="0" w:colLast="0"/>
      <w:bookmarkEnd w:id="16"/>
      <w:r>
        <w:lastRenderedPageBreak/>
        <w:t>References</w:t>
      </w:r>
    </w:p>
    <w:p w:rsidR="00BB7F11" w:rsidRDefault="00A947D5">
      <w:pPr>
        <w:spacing w:line="360" w:lineRule="auto"/>
      </w:pPr>
      <w:proofErr w:type="spellStart"/>
      <w:r>
        <w:rPr>
          <w:color w:val="222222"/>
          <w:highlight w:val="white"/>
        </w:rPr>
        <w:t>Alharbi</w:t>
      </w:r>
      <w:proofErr w:type="spellEnd"/>
      <w:r>
        <w:rPr>
          <w:color w:val="222222"/>
          <w:highlight w:val="white"/>
        </w:rPr>
        <w:t xml:space="preserve">, F.R. and </w:t>
      </w:r>
      <w:proofErr w:type="spellStart"/>
      <w:r>
        <w:rPr>
          <w:color w:val="222222"/>
          <w:highlight w:val="white"/>
        </w:rPr>
        <w:t>Csala</w:t>
      </w:r>
      <w:proofErr w:type="spellEnd"/>
      <w:r>
        <w:rPr>
          <w:color w:val="222222"/>
          <w:highlight w:val="white"/>
        </w:rPr>
        <w:t xml:space="preserve">, D., 2022. A seasonal autoregressive integrated moving average with exogenous factors (SARIMAX) forecasting model-based time series approach. </w:t>
      </w:r>
      <w:proofErr w:type="gramStart"/>
      <w:r>
        <w:rPr>
          <w:i/>
          <w:iCs/>
          <w:color w:val="222222"/>
          <w:highlight w:val="white"/>
        </w:rPr>
        <w:t>Inventions</w:t>
      </w:r>
      <w:r>
        <w:rPr>
          <w:color w:val="222222"/>
          <w:highlight w:val="white"/>
        </w:rPr>
        <w:t xml:space="preserve">, </w:t>
      </w:r>
      <w:r>
        <w:rPr>
          <w:i/>
          <w:iCs/>
          <w:color w:val="222222"/>
          <w:highlight w:val="white"/>
        </w:rPr>
        <w:t>7</w:t>
      </w:r>
      <w:r>
        <w:rPr>
          <w:color w:val="222222"/>
          <w:highlight w:val="white"/>
        </w:rPr>
        <w:t>(4), p.94.</w:t>
      </w:r>
      <w:proofErr w:type="gramEnd"/>
      <w:r>
        <w:rPr>
          <w:color w:val="000000"/>
        </w:rPr>
        <w:t xml:space="preserve"> </w:t>
      </w:r>
      <w:hyperlink r:id="rId17">
        <w:r>
          <w:rPr>
            <w:color w:val="1155CC"/>
            <w:u w:val="single"/>
          </w:rPr>
          <w:t>https://doi.org/10.3390/inventions7040094</w:t>
        </w:r>
      </w:hyperlink>
    </w:p>
    <w:p w:rsidR="00BB7F11" w:rsidRDefault="00A947D5">
      <w:pPr>
        <w:pBdr>
          <w:top w:val="nil"/>
          <w:left w:val="nil"/>
          <w:bottom w:val="nil"/>
          <w:right w:val="nil"/>
          <w:between w:val="nil"/>
        </w:pBdr>
        <w:spacing w:after="0" w:line="360" w:lineRule="auto"/>
        <w:rPr>
          <w:color w:val="000000"/>
        </w:rPr>
      </w:pPr>
      <w:proofErr w:type="spellStart"/>
      <w:r>
        <w:rPr>
          <w:color w:val="222222"/>
          <w:highlight w:val="white"/>
        </w:rPr>
        <w:t>Assegie</w:t>
      </w:r>
      <w:proofErr w:type="spellEnd"/>
      <w:r>
        <w:rPr>
          <w:color w:val="222222"/>
          <w:highlight w:val="white"/>
        </w:rPr>
        <w:t xml:space="preserve">, T.A. and </w:t>
      </w:r>
      <w:proofErr w:type="spellStart"/>
      <w:r>
        <w:rPr>
          <w:color w:val="222222"/>
          <w:highlight w:val="white"/>
        </w:rPr>
        <w:t>Elaraby</w:t>
      </w:r>
      <w:proofErr w:type="spellEnd"/>
      <w:r>
        <w:rPr>
          <w:color w:val="222222"/>
          <w:highlight w:val="white"/>
        </w:rPr>
        <w:t xml:space="preserve">, A., 2023. </w:t>
      </w:r>
      <w:proofErr w:type="gramStart"/>
      <w:r>
        <w:rPr>
          <w:color w:val="222222"/>
          <w:highlight w:val="white"/>
        </w:rPr>
        <w:t>Optimal tree depth in decision tree classifiers for predicting heart failure mortality.</w:t>
      </w:r>
      <w:proofErr w:type="gramEnd"/>
      <w:r>
        <w:rPr>
          <w:color w:val="222222"/>
          <w:highlight w:val="white"/>
        </w:rPr>
        <w:t xml:space="preserve"> </w:t>
      </w:r>
      <w:proofErr w:type="spellStart"/>
      <w:proofErr w:type="gramStart"/>
      <w:r>
        <w:rPr>
          <w:i/>
          <w:iCs/>
          <w:color w:val="222222"/>
          <w:highlight w:val="white"/>
        </w:rPr>
        <w:t>Healthcraft</w:t>
      </w:r>
      <w:proofErr w:type="spellEnd"/>
      <w:r>
        <w:rPr>
          <w:i/>
          <w:iCs/>
          <w:color w:val="222222"/>
          <w:highlight w:val="white"/>
        </w:rPr>
        <w:t xml:space="preserve"> frontiers</w:t>
      </w:r>
      <w:r>
        <w:rPr>
          <w:color w:val="222222"/>
          <w:highlight w:val="white"/>
        </w:rPr>
        <w:t xml:space="preserve">, </w:t>
      </w:r>
      <w:r>
        <w:rPr>
          <w:i/>
          <w:iCs/>
          <w:color w:val="222222"/>
          <w:highlight w:val="white"/>
        </w:rPr>
        <w:t>1</w:t>
      </w:r>
      <w:r>
        <w:rPr>
          <w:color w:val="222222"/>
          <w:highlight w:val="white"/>
        </w:rPr>
        <w:t>(1), p</w:t>
      </w:r>
      <w:r>
        <w:rPr>
          <w:color w:val="222222"/>
          <w:highlight w:val="white"/>
        </w:rPr>
        <w:t>p.58-66.</w:t>
      </w:r>
      <w:proofErr w:type="gramEnd"/>
      <w:r>
        <w:rPr>
          <w:color w:val="000000"/>
        </w:rPr>
        <w:t xml:space="preserve"> </w:t>
      </w:r>
      <w:hyperlink r:id="rId18">
        <w:r>
          <w:rPr>
            <w:color w:val="1155CC"/>
            <w:u w:val="single"/>
          </w:rPr>
          <w:t>https://doi.org/10.56578/hf010105</w:t>
        </w:r>
      </w:hyperlink>
    </w:p>
    <w:p w:rsidR="00BB7F11" w:rsidRDefault="00A947D5">
      <w:pPr>
        <w:pBdr>
          <w:top w:val="nil"/>
          <w:left w:val="nil"/>
          <w:bottom w:val="nil"/>
          <w:right w:val="nil"/>
          <w:between w:val="nil"/>
        </w:pBdr>
        <w:spacing w:after="0" w:line="360" w:lineRule="auto"/>
        <w:rPr>
          <w:color w:val="000000"/>
        </w:rPr>
      </w:pPr>
      <w:proofErr w:type="spellStart"/>
      <w:proofErr w:type="gramStart"/>
      <w:r>
        <w:rPr>
          <w:color w:val="222222"/>
          <w:highlight w:val="white"/>
        </w:rPr>
        <w:t>Biswas</w:t>
      </w:r>
      <w:proofErr w:type="spellEnd"/>
      <w:r>
        <w:rPr>
          <w:color w:val="222222"/>
          <w:highlight w:val="white"/>
        </w:rPr>
        <w:t xml:space="preserve">, M.E., </w:t>
      </w:r>
      <w:proofErr w:type="spellStart"/>
      <w:r>
        <w:rPr>
          <w:color w:val="222222"/>
          <w:highlight w:val="white"/>
        </w:rPr>
        <w:t>Hossain</w:t>
      </w:r>
      <w:proofErr w:type="spellEnd"/>
      <w:r>
        <w:rPr>
          <w:color w:val="222222"/>
          <w:highlight w:val="white"/>
        </w:rPr>
        <w:t>, M.D., Huh, E.N. and Sultana, T., 2025.</w:t>
      </w:r>
      <w:proofErr w:type="gramEnd"/>
      <w:r>
        <w:rPr>
          <w:color w:val="222222"/>
          <w:highlight w:val="white"/>
        </w:rPr>
        <w:t xml:space="preserve"> </w:t>
      </w:r>
      <w:proofErr w:type="gramStart"/>
      <w:r>
        <w:rPr>
          <w:color w:val="222222"/>
          <w:highlight w:val="white"/>
        </w:rPr>
        <w:t xml:space="preserve">Spatiotemporal data-driven hourly bike-sharing demand prediction using </w:t>
      </w:r>
      <w:proofErr w:type="spellStart"/>
      <w:r>
        <w:rPr>
          <w:color w:val="222222"/>
          <w:highlight w:val="white"/>
        </w:rPr>
        <w:t>apexboost</w:t>
      </w:r>
      <w:proofErr w:type="spellEnd"/>
      <w:r>
        <w:rPr>
          <w:color w:val="222222"/>
          <w:highlight w:val="white"/>
        </w:rPr>
        <w:t xml:space="preserve"> regression.</w:t>
      </w:r>
      <w:proofErr w:type="gramEnd"/>
      <w:r>
        <w:rPr>
          <w:color w:val="222222"/>
          <w:highlight w:val="white"/>
        </w:rPr>
        <w:t xml:space="preserve"> </w:t>
      </w:r>
      <w:proofErr w:type="gramStart"/>
      <w:r>
        <w:rPr>
          <w:i/>
          <w:iCs/>
          <w:color w:val="222222"/>
          <w:highlight w:val="white"/>
        </w:rPr>
        <w:t>Inter</w:t>
      </w:r>
      <w:r>
        <w:rPr>
          <w:i/>
          <w:iCs/>
          <w:color w:val="222222"/>
          <w:highlight w:val="white"/>
        </w:rPr>
        <w:t>national Journal of Data Science and Analytics</w:t>
      </w:r>
      <w:r>
        <w:rPr>
          <w:color w:val="222222"/>
          <w:highlight w:val="white"/>
        </w:rPr>
        <w:t xml:space="preserve">, </w:t>
      </w:r>
      <w:r>
        <w:rPr>
          <w:i/>
          <w:iCs/>
          <w:color w:val="222222"/>
          <w:highlight w:val="white"/>
        </w:rPr>
        <w:t>20</w:t>
      </w:r>
      <w:r>
        <w:rPr>
          <w:color w:val="222222"/>
          <w:highlight w:val="white"/>
        </w:rPr>
        <w:t>(7), pp.6259-6282.</w:t>
      </w:r>
      <w:proofErr w:type="gramEnd"/>
      <w:r>
        <w:rPr>
          <w:color w:val="000000"/>
        </w:rPr>
        <w:t xml:space="preserve"> </w:t>
      </w:r>
      <w:hyperlink r:id="rId19">
        <w:r>
          <w:rPr>
            <w:color w:val="1155CC"/>
            <w:u w:val="single"/>
          </w:rPr>
          <w:t>https://doi.org/10.1007/s41060-025-00820-0</w:t>
        </w:r>
      </w:hyperlink>
    </w:p>
    <w:p w:rsidR="00BB7F11" w:rsidRDefault="00A947D5">
      <w:pPr>
        <w:pBdr>
          <w:top w:val="nil"/>
          <w:left w:val="nil"/>
          <w:bottom w:val="nil"/>
          <w:right w:val="nil"/>
          <w:between w:val="nil"/>
        </w:pBdr>
        <w:spacing w:after="0" w:line="360" w:lineRule="auto"/>
        <w:rPr>
          <w:color w:val="000000"/>
        </w:rPr>
      </w:pPr>
      <w:proofErr w:type="spellStart"/>
      <w:r>
        <w:rPr>
          <w:color w:val="222222"/>
          <w:highlight w:val="white"/>
        </w:rPr>
        <w:t>Bobirovich</w:t>
      </w:r>
      <w:proofErr w:type="spellEnd"/>
      <w:r>
        <w:rPr>
          <w:color w:val="222222"/>
          <w:highlight w:val="white"/>
        </w:rPr>
        <w:t xml:space="preserve">, M.A., 2022. Regression Based on Decision Tree Algorithm. </w:t>
      </w:r>
      <w:proofErr w:type="spellStart"/>
      <w:proofErr w:type="gramStart"/>
      <w:r>
        <w:rPr>
          <w:i/>
          <w:iCs/>
          <w:color w:val="222222"/>
          <w:highlight w:val="white"/>
        </w:rPr>
        <w:t>Вестник</w:t>
      </w:r>
      <w:proofErr w:type="spellEnd"/>
      <w:r>
        <w:rPr>
          <w:i/>
          <w:iCs/>
          <w:color w:val="222222"/>
          <w:highlight w:val="white"/>
        </w:rPr>
        <w:t xml:space="preserve"> </w:t>
      </w:r>
      <w:proofErr w:type="spellStart"/>
      <w:r>
        <w:rPr>
          <w:i/>
          <w:iCs/>
          <w:color w:val="222222"/>
          <w:highlight w:val="white"/>
        </w:rPr>
        <w:t>науки</w:t>
      </w:r>
      <w:proofErr w:type="spellEnd"/>
      <w:r>
        <w:rPr>
          <w:i/>
          <w:iCs/>
          <w:color w:val="222222"/>
          <w:highlight w:val="white"/>
        </w:rPr>
        <w:t xml:space="preserve"> и </w:t>
      </w:r>
      <w:proofErr w:type="spellStart"/>
      <w:r>
        <w:rPr>
          <w:i/>
          <w:iCs/>
          <w:color w:val="222222"/>
          <w:highlight w:val="white"/>
        </w:rPr>
        <w:t>образования</w:t>
      </w:r>
      <w:proofErr w:type="spellEnd"/>
      <w:r>
        <w:rPr>
          <w:color w:val="222222"/>
          <w:highlight w:val="white"/>
        </w:rPr>
        <w:t>, (4-1 (124)), pp.25-30.</w:t>
      </w:r>
      <w:proofErr w:type="gramEnd"/>
      <w:r>
        <w:rPr>
          <w:color w:val="000000"/>
        </w:rPr>
        <w:t xml:space="preserve"> </w:t>
      </w:r>
      <w:hyperlink r:id="rId20">
        <w:r>
          <w:rPr>
            <w:color w:val="1155CC"/>
            <w:u w:val="single"/>
          </w:rPr>
          <w:t>https://cyberleninka.ru/article/n/regression-based-on-decision-tree-algorithm-1</w:t>
        </w:r>
      </w:hyperlink>
    </w:p>
    <w:p w:rsidR="00BB7F11" w:rsidRDefault="00A947D5">
      <w:pPr>
        <w:pBdr>
          <w:top w:val="nil"/>
          <w:left w:val="nil"/>
          <w:bottom w:val="nil"/>
          <w:right w:val="nil"/>
          <w:between w:val="nil"/>
        </w:pBdr>
        <w:spacing w:after="0" w:line="360" w:lineRule="auto"/>
        <w:rPr>
          <w:color w:val="000000"/>
        </w:rPr>
      </w:pPr>
      <w:proofErr w:type="spellStart"/>
      <w:r>
        <w:rPr>
          <w:color w:val="222222"/>
          <w:highlight w:val="white"/>
        </w:rPr>
        <w:t>Dalmaijer</w:t>
      </w:r>
      <w:proofErr w:type="spellEnd"/>
      <w:r>
        <w:rPr>
          <w:color w:val="222222"/>
          <w:highlight w:val="white"/>
        </w:rPr>
        <w:t xml:space="preserve">, E.S., Nord, C.L. and </w:t>
      </w:r>
      <w:proofErr w:type="spellStart"/>
      <w:r>
        <w:rPr>
          <w:color w:val="222222"/>
          <w:highlight w:val="white"/>
        </w:rPr>
        <w:t>Astle</w:t>
      </w:r>
      <w:proofErr w:type="spellEnd"/>
      <w:r>
        <w:rPr>
          <w:color w:val="222222"/>
          <w:highlight w:val="white"/>
        </w:rPr>
        <w:t xml:space="preserve">, D.E., 2022. </w:t>
      </w:r>
      <w:proofErr w:type="gramStart"/>
      <w:r>
        <w:rPr>
          <w:color w:val="222222"/>
          <w:highlight w:val="white"/>
        </w:rPr>
        <w:t>Statistical power for cluster analysis.</w:t>
      </w:r>
      <w:proofErr w:type="gramEnd"/>
      <w:r>
        <w:rPr>
          <w:color w:val="222222"/>
          <w:highlight w:val="white"/>
        </w:rPr>
        <w:t xml:space="preserve"> </w:t>
      </w:r>
      <w:proofErr w:type="gramStart"/>
      <w:r>
        <w:rPr>
          <w:i/>
          <w:iCs/>
          <w:color w:val="222222"/>
          <w:highlight w:val="white"/>
        </w:rPr>
        <w:t>BMC bioinformatics</w:t>
      </w:r>
      <w:r>
        <w:rPr>
          <w:color w:val="222222"/>
          <w:highlight w:val="white"/>
        </w:rPr>
        <w:t xml:space="preserve">, </w:t>
      </w:r>
      <w:r>
        <w:rPr>
          <w:i/>
          <w:iCs/>
          <w:color w:val="222222"/>
          <w:highlight w:val="white"/>
        </w:rPr>
        <w:t>23</w:t>
      </w:r>
      <w:r>
        <w:rPr>
          <w:color w:val="222222"/>
          <w:highlight w:val="white"/>
        </w:rPr>
        <w:t>(1), p.205.</w:t>
      </w:r>
      <w:proofErr w:type="gramEnd"/>
      <w:r>
        <w:rPr>
          <w:color w:val="000000"/>
        </w:rPr>
        <w:t xml:space="preserve"> </w:t>
      </w:r>
      <w:hyperlink r:id="rId21">
        <w:r>
          <w:rPr>
            <w:color w:val="1155CC"/>
            <w:u w:val="single"/>
          </w:rPr>
          <w:t>https://doi.org/10.1186/s12859-022-04675-1</w:t>
        </w:r>
      </w:hyperlink>
    </w:p>
    <w:p w:rsidR="00BB7F11" w:rsidRDefault="00A947D5">
      <w:pPr>
        <w:pBdr>
          <w:top w:val="nil"/>
          <w:left w:val="nil"/>
          <w:bottom w:val="nil"/>
          <w:right w:val="nil"/>
          <w:between w:val="nil"/>
        </w:pBdr>
        <w:spacing w:after="0" w:line="360" w:lineRule="auto"/>
        <w:rPr>
          <w:color w:val="000000"/>
        </w:rPr>
      </w:pPr>
      <w:proofErr w:type="spellStart"/>
      <w:proofErr w:type="gramStart"/>
      <w:r>
        <w:rPr>
          <w:color w:val="222222"/>
          <w:highlight w:val="white"/>
        </w:rPr>
        <w:t>Fawaz</w:t>
      </w:r>
      <w:proofErr w:type="spellEnd"/>
      <w:r>
        <w:rPr>
          <w:color w:val="222222"/>
          <w:highlight w:val="white"/>
        </w:rPr>
        <w:t xml:space="preserve">, M., </w:t>
      </w:r>
      <w:proofErr w:type="spellStart"/>
      <w:r>
        <w:rPr>
          <w:color w:val="222222"/>
          <w:highlight w:val="white"/>
        </w:rPr>
        <w:t>Fayaz</w:t>
      </w:r>
      <w:proofErr w:type="spellEnd"/>
      <w:r>
        <w:rPr>
          <w:color w:val="222222"/>
          <w:highlight w:val="white"/>
        </w:rPr>
        <w:t xml:space="preserve">, N. and </w:t>
      </w:r>
      <w:proofErr w:type="spellStart"/>
      <w:r>
        <w:rPr>
          <w:color w:val="222222"/>
          <w:highlight w:val="white"/>
        </w:rPr>
        <w:t>B</w:t>
      </w:r>
      <w:r>
        <w:rPr>
          <w:color w:val="222222"/>
          <w:highlight w:val="white"/>
        </w:rPr>
        <w:t>aseer</w:t>
      </w:r>
      <w:proofErr w:type="spellEnd"/>
      <w:r>
        <w:rPr>
          <w:color w:val="222222"/>
          <w:highlight w:val="white"/>
        </w:rPr>
        <w:t>, M. 2022.</w:t>
      </w:r>
      <w:proofErr w:type="gramEnd"/>
      <w:r>
        <w:rPr>
          <w:color w:val="222222"/>
          <w:highlight w:val="white"/>
        </w:rPr>
        <w:t xml:space="preserve"> </w:t>
      </w:r>
      <w:proofErr w:type="gramStart"/>
      <w:r>
        <w:rPr>
          <w:color w:val="222222"/>
          <w:highlight w:val="white"/>
        </w:rPr>
        <w:t>Energy Forecasting and Operational Optimization in steel Plants Using Explainable Ensemble Models.</w:t>
      </w:r>
      <w:proofErr w:type="gramEnd"/>
      <w:r>
        <w:rPr>
          <w:color w:val="222222"/>
          <w:highlight w:val="white"/>
        </w:rPr>
        <w:t xml:space="preserve"> </w:t>
      </w:r>
      <w:proofErr w:type="gramStart"/>
      <w:r>
        <w:rPr>
          <w:i/>
          <w:iCs/>
          <w:color w:val="222222"/>
          <w:highlight w:val="white"/>
        </w:rPr>
        <w:t>Available at SSRN 6883007</w:t>
      </w:r>
      <w:r>
        <w:rPr>
          <w:color w:val="222222"/>
          <w:highlight w:val="white"/>
        </w:rPr>
        <w:t>.</w:t>
      </w:r>
      <w:proofErr w:type="gramEnd"/>
      <w:r>
        <w:rPr>
          <w:color w:val="000000"/>
        </w:rPr>
        <w:t xml:space="preserve"> </w:t>
      </w:r>
      <w:hyperlink r:id="rId22">
        <w:r>
          <w:rPr>
            <w:color w:val="1155CC"/>
            <w:u w:val="single"/>
          </w:rPr>
          <w:t>https://papers.ssrn.com/sol3/Deliv</w:t>
        </w:r>
        <w:r>
          <w:rPr>
            <w:color w:val="1155CC"/>
            <w:u w:val="single"/>
          </w:rPr>
          <w:t>ery.cfm?abstractid=6883007</w:t>
        </w:r>
      </w:hyperlink>
    </w:p>
    <w:p w:rsidR="00BB7F11" w:rsidRDefault="00A947D5">
      <w:pPr>
        <w:pBdr>
          <w:top w:val="nil"/>
          <w:left w:val="nil"/>
          <w:bottom w:val="nil"/>
          <w:right w:val="nil"/>
          <w:between w:val="nil"/>
        </w:pBdr>
        <w:spacing w:after="0" w:line="360" w:lineRule="auto"/>
        <w:rPr>
          <w:color w:val="000000"/>
        </w:rPr>
      </w:pPr>
      <w:proofErr w:type="spellStart"/>
      <w:r>
        <w:rPr>
          <w:color w:val="222222"/>
          <w:highlight w:val="white"/>
        </w:rPr>
        <w:t>Glinskiy</w:t>
      </w:r>
      <w:proofErr w:type="spellEnd"/>
      <w:r>
        <w:rPr>
          <w:color w:val="222222"/>
          <w:highlight w:val="white"/>
        </w:rPr>
        <w:t xml:space="preserve">, V., </w:t>
      </w:r>
      <w:proofErr w:type="spellStart"/>
      <w:r>
        <w:rPr>
          <w:color w:val="222222"/>
          <w:highlight w:val="white"/>
        </w:rPr>
        <w:t>Ismayilova</w:t>
      </w:r>
      <w:proofErr w:type="spellEnd"/>
      <w:r>
        <w:rPr>
          <w:color w:val="222222"/>
          <w:highlight w:val="white"/>
        </w:rPr>
        <w:t xml:space="preserve">, Y., Khrushchev, S., </w:t>
      </w:r>
      <w:proofErr w:type="spellStart"/>
      <w:r>
        <w:rPr>
          <w:color w:val="222222"/>
          <w:highlight w:val="white"/>
        </w:rPr>
        <w:t>Logachov</w:t>
      </w:r>
      <w:proofErr w:type="spellEnd"/>
      <w:r>
        <w:rPr>
          <w:color w:val="222222"/>
          <w:highlight w:val="white"/>
        </w:rPr>
        <w:t xml:space="preserve">, A., </w:t>
      </w:r>
      <w:proofErr w:type="spellStart"/>
      <w:r>
        <w:rPr>
          <w:color w:val="222222"/>
          <w:highlight w:val="white"/>
        </w:rPr>
        <w:t>Logachova</w:t>
      </w:r>
      <w:proofErr w:type="spellEnd"/>
      <w:r>
        <w:rPr>
          <w:color w:val="222222"/>
          <w:highlight w:val="white"/>
        </w:rPr>
        <w:t xml:space="preserve">, O., </w:t>
      </w:r>
      <w:proofErr w:type="spellStart"/>
      <w:r>
        <w:rPr>
          <w:color w:val="222222"/>
          <w:highlight w:val="white"/>
        </w:rPr>
        <w:t>Serga</w:t>
      </w:r>
      <w:proofErr w:type="spellEnd"/>
      <w:r>
        <w:rPr>
          <w:color w:val="222222"/>
          <w:highlight w:val="white"/>
        </w:rPr>
        <w:t xml:space="preserve">, L., </w:t>
      </w:r>
      <w:proofErr w:type="spellStart"/>
      <w:r>
        <w:rPr>
          <w:color w:val="222222"/>
          <w:highlight w:val="white"/>
        </w:rPr>
        <w:t>Yambartsev</w:t>
      </w:r>
      <w:proofErr w:type="spellEnd"/>
      <w:r>
        <w:rPr>
          <w:color w:val="222222"/>
          <w:highlight w:val="white"/>
        </w:rPr>
        <w:t xml:space="preserve">, A. and </w:t>
      </w:r>
      <w:proofErr w:type="spellStart"/>
      <w:r>
        <w:rPr>
          <w:color w:val="222222"/>
          <w:highlight w:val="white"/>
        </w:rPr>
        <w:t>Zaykov</w:t>
      </w:r>
      <w:proofErr w:type="spellEnd"/>
      <w:r>
        <w:rPr>
          <w:color w:val="222222"/>
          <w:highlight w:val="white"/>
        </w:rPr>
        <w:t xml:space="preserve">, K., 2024. </w:t>
      </w:r>
      <w:proofErr w:type="gramStart"/>
      <w:r>
        <w:rPr>
          <w:color w:val="222222"/>
          <w:highlight w:val="white"/>
        </w:rPr>
        <w:t xml:space="preserve">Modifications to the </w:t>
      </w:r>
      <w:proofErr w:type="spellStart"/>
      <w:r>
        <w:rPr>
          <w:color w:val="222222"/>
          <w:highlight w:val="white"/>
        </w:rPr>
        <w:t>Jarque</w:t>
      </w:r>
      <w:proofErr w:type="spellEnd"/>
      <w:r>
        <w:rPr>
          <w:color w:val="222222"/>
          <w:highlight w:val="white"/>
        </w:rPr>
        <w:t>–</w:t>
      </w:r>
      <w:proofErr w:type="spellStart"/>
      <w:r>
        <w:rPr>
          <w:color w:val="222222"/>
          <w:highlight w:val="white"/>
        </w:rPr>
        <w:t>Bera</w:t>
      </w:r>
      <w:proofErr w:type="spellEnd"/>
      <w:r>
        <w:rPr>
          <w:color w:val="222222"/>
          <w:highlight w:val="white"/>
        </w:rPr>
        <w:t xml:space="preserve"> test.</w:t>
      </w:r>
      <w:proofErr w:type="gramEnd"/>
      <w:r>
        <w:rPr>
          <w:color w:val="222222"/>
          <w:highlight w:val="white"/>
        </w:rPr>
        <w:t xml:space="preserve"> </w:t>
      </w:r>
      <w:proofErr w:type="gramStart"/>
      <w:r>
        <w:rPr>
          <w:i/>
          <w:iCs/>
          <w:color w:val="222222"/>
          <w:highlight w:val="white"/>
        </w:rPr>
        <w:t>Mathematics</w:t>
      </w:r>
      <w:r>
        <w:rPr>
          <w:color w:val="222222"/>
          <w:highlight w:val="white"/>
        </w:rPr>
        <w:t xml:space="preserve">, </w:t>
      </w:r>
      <w:r>
        <w:rPr>
          <w:i/>
          <w:iCs/>
          <w:color w:val="222222"/>
          <w:highlight w:val="white"/>
        </w:rPr>
        <w:t>12</w:t>
      </w:r>
      <w:r>
        <w:rPr>
          <w:color w:val="222222"/>
          <w:highlight w:val="white"/>
        </w:rPr>
        <w:t>(16), p.2523.</w:t>
      </w:r>
      <w:proofErr w:type="gramEnd"/>
      <w:r>
        <w:rPr>
          <w:color w:val="000000"/>
        </w:rPr>
        <w:t xml:space="preserve"> </w:t>
      </w:r>
      <w:hyperlink r:id="rId23">
        <w:r>
          <w:rPr>
            <w:color w:val="1155CC"/>
            <w:u w:val="single"/>
          </w:rPr>
          <w:t>https://doi.org/10.3390/math12162523</w:t>
        </w:r>
      </w:hyperlink>
    </w:p>
    <w:p w:rsidR="00BB7F11" w:rsidRDefault="00A947D5">
      <w:pPr>
        <w:pBdr>
          <w:top w:val="nil"/>
          <w:left w:val="nil"/>
          <w:bottom w:val="nil"/>
          <w:right w:val="nil"/>
          <w:between w:val="nil"/>
        </w:pBdr>
        <w:spacing w:after="0" w:line="360" w:lineRule="auto"/>
        <w:rPr>
          <w:color w:val="000000"/>
        </w:rPr>
      </w:pPr>
      <w:r>
        <w:rPr>
          <w:color w:val="222222"/>
          <w:highlight w:val="white"/>
        </w:rPr>
        <w:t xml:space="preserve">Ho, G.T.S., Choy, S.K., Tong, P.H. and Tang, V., 2022. </w:t>
      </w:r>
      <w:proofErr w:type="gramStart"/>
      <w:r>
        <w:rPr>
          <w:color w:val="222222"/>
          <w:highlight w:val="white"/>
        </w:rPr>
        <w:t>A forecasting analytics model for assessing forecast error in e-</w:t>
      </w:r>
      <w:proofErr w:type="spellStart"/>
      <w:r>
        <w:rPr>
          <w:color w:val="222222"/>
          <w:highlight w:val="white"/>
        </w:rPr>
        <w:t>fulfilment</w:t>
      </w:r>
      <w:proofErr w:type="spellEnd"/>
      <w:r>
        <w:rPr>
          <w:color w:val="222222"/>
          <w:highlight w:val="white"/>
        </w:rPr>
        <w:t xml:space="preserve"> performance.</w:t>
      </w:r>
      <w:proofErr w:type="gramEnd"/>
      <w:r>
        <w:rPr>
          <w:color w:val="222222"/>
          <w:highlight w:val="white"/>
        </w:rPr>
        <w:t xml:space="preserve"> </w:t>
      </w:r>
      <w:proofErr w:type="gramStart"/>
      <w:r>
        <w:rPr>
          <w:i/>
          <w:iCs/>
          <w:color w:val="222222"/>
          <w:highlight w:val="white"/>
        </w:rPr>
        <w:t>Industrial Management &amp; Data Systems</w:t>
      </w:r>
      <w:r>
        <w:rPr>
          <w:color w:val="222222"/>
          <w:highlight w:val="white"/>
        </w:rPr>
        <w:t xml:space="preserve">, </w:t>
      </w:r>
      <w:r>
        <w:rPr>
          <w:i/>
          <w:iCs/>
          <w:color w:val="222222"/>
          <w:highlight w:val="white"/>
        </w:rPr>
        <w:t>122</w:t>
      </w:r>
      <w:r>
        <w:rPr>
          <w:color w:val="222222"/>
          <w:highlight w:val="white"/>
        </w:rPr>
        <w:t>(11), pp.2583-260</w:t>
      </w:r>
      <w:r>
        <w:rPr>
          <w:color w:val="222222"/>
          <w:highlight w:val="white"/>
        </w:rPr>
        <w:t>8.</w:t>
      </w:r>
      <w:proofErr w:type="gramEnd"/>
      <w:r>
        <w:rPr>
          <w:color w:val="000000"/>
        </w:rPr>
        <w:t xml:space="preserve"> </w:t>
      </w:r>
      <w:hyperlink r:id="rId24">
        <w:r>
          <w:rPr>
            <w:color w:val="1155CC"/>
            <w:u w:val="single"/>
          </w:rPr>
          <w:t>https://doi.org/10.1108/IMDS-01-2022-0056</w:t>
        </w:r>
      </w:hyperlink>
    </w:p>
    <w:p w:rsidR="00BB7F11" w:rsidRDefault="00A947D5">
      <w:pPr>
        <w:pBdr>
          <w:top w:val="nil"/>
          <w:left w:val="nil"/>
          <w:bottom w:val="nil"/>
          <w:right w:val="nil"/>
          <w:between w:val="nil"/>
        </w:pBdr>
        <w:spacing w:after="0" w:line="360" w:lineRule="auto"/>
        <w:rPr>
          <w:color w:val="000000"/>
        </w:rPr>
      </w:pPr>
      <w:proofErr w:type="spellStart"/>
      <w:r>
        <w:rPr>
          <w:color w:val="222222"/>
          <w:highlight w:val="white"/>
        </w:rPr>
        <w:t>Hounyo</w:t>
      </w:r>
      <w:proofErr w:type="spellEnd"/>
      <w:r>
        <w:rPr>
          <w:color w:val="222222"/>
          <w:highlight w:val="white"/>
        </w:rPr>
        <w:t xml:space="preserve">, U., 2026. When Does </w:t>
      </w:r>
      <w:proofErr w:type="spellStart"/>
      <w:r>
        <w:rPr>
          <w:color w:val="222222"/>
          <w:highlight w:val="white"/>
        </w:rPr>
        <w:t>Heteroskedasticity</w:t>
      </w:r>
      <w:proofErr w:type="spellEnd"/>
      <w:r>
        <w:rPr>
          <w:color w:val="222222"/>
          <w:highlight w:val="white"/>
        </w:rPr>
        <w:t xml:space="preserve"> Matter? </w:t>
      </w:r>
      <w:proofErr w:type="gramStart"/>
      <w:r>
        <w:rPr>
          <w:color w:val="222222"/>
          <w:highlight w:val="white"/>
        </w:rPr>
        <w:t>A Contrast-Specific Theory of Robust Inference.</w:t>
      </w:r>
      <w:proofErr w:type="gramEnd"/>
      <w:r>
        <w:rPr>
          <w:color w:val="222222"/>
          <w:highlight w:val="white"/>
        </w:rPr>
        <w:t xml:space="preserve"> </w:t>
      </w:r>
      <w:proofErr w:type="spellStart"/>
      <w:proofErr w:type="gramStart"/>
      <w:r>
        <w:rPr>
          <w:i/>
          <w:iCs/>
          <w:color w:val="222222"/>
          <w:highlight w:val="white"/>
        </w:rPr>
        <w:t>arXiv</w:t>
      </w:r>
      <w:proofErr w:type="spellEnd"/>
      <w:proofErr w:type="gramEnd"/>
      <w:r>
        <w:rPr>
          <w:i/>
          <w:iCs/>
          <w:color w:val="222222"/>
          <w:highlight w:val="white"/>
        </w:rPr>
        <w:t xml:space="preserve"> preprint arXiv:2607.03331</w:t>
      </w:r>
      <w:r>
        <w:rPr>
          <w:color w:val="222222"/>
          <w:highlight w:val="white"/>
        </w:rPr>
        <w:t>.</w:t>
      </w:r>
      <w:r>
        <w:rPr>
          <w:color w:val="000000"/>
        </w:rPr>
        <w:t xml:space="preserve"> </w:t>
      </w:r>
      <w:hyperlink r:id="rId25">
        <w:r>
          <w:rPr>
            <w:color w:val="1155CC"/>
            <w:u w:val="single"/>
          </w:rPr>
          <w:t>https://arxiv.org/pdf/2607.03331</w:t>
        </w:r>
      </w:hyperlink>
    </w:p>
    <w:p w:rsidR="00BB7F11" w:rsidRDefault="00A947D5">
      <w:pPr>
        <w:pBdr>
          <w:top w:val="nil"/>
          <w:left w:val="nil"/>
          <w:bottom w:val="nil"/>
          <w:right w:val="nil"/>
          <w:between w:val="nil"/>
        </w:pBdr>
        <w:spacing w:after="0" w:line="360" w:lineRule="auto"/>
        <w:rPr>
          <w:color w:val="000000"/>
        </w:rPr>
      </w:pPr>
      <w:proofErr w:type="spellStart"/>
      <w:r>
        <w:rPr>
          <w:color w:val="222222"/>
          <w:highlight w:val="white"/>
        </w:rPr>
        <w:t>Iheaka</w:t>
      </w:r>
      <w:proofErr w:type="spellEnd"/>
      <w:r>
        <w:rPr>
          <w:color w:val="222222"/>
          <w:highlight w:val="white"/>
        </w:rPr>
        <w:t xml:space="preserve">, V.C., 2025. Diagnosing and correcting violations of normality and constant variance assumptions in multiple linear regression analysis. </w:t>
      </w:r>
      <w:proofErr w:type="gramStart"/>
      <w:r>
        <w:rPr>
          <w:i/>
          <w:iCs/>
          <w:color w:val="222222"/>
          <w:highlight w:val="white"/>
        </w:rPr>
        <w:t>International Journal of Adva</w:t>
      </w:r>
      <w:r>
        <w:rPr>
          <w:i/>
          <w:iCs/>
          <w:color w:val="222222"/>
          <w:highlight w:val="white"/>
        </w:rPr>
        <w:t>nced Statistics and Probability</w:t>
      </w:r>
      <w:r>
        <w:rPr>
          <w:color w:val="222222"/>
          <w:highlight w:val="white"/>
        </w:rPr>
        <w:t xml:space="preserve">, </w:t>
      </w:r>
      <w:r>
        <w:rPr>
          <w:i/>
          <w:iCs/>
          <w:color w:val="222222"/>
          <w:highlight w:val="white"/>
        </w:rPr>
        <w:t>12</w:t>
      </w:r>
      <w:r>
        <w:rPr>
          <w:color w:val="222222"/>
          <w:highlight w:val="white"/>
        </w:rPr>
        <w:t>(1), pp.17-27.</w:t>
      </w:r>
      <w:proofErr w:type="gramEnd"/>
      <w:r>
        <w:rPr>
          <w:color w:val="000000"/>
        </w:rPr>
        <w:t xml:space="preserve"> </w:t>
      </w:r>
      <w:hyperlink r:id="rId26">
        <w:r>
          <w:rPr>
            <w:color w:val="1155CC"/>
            <w:u w:val="single"/>
          </w:rPr>
          <w:t>https://www.researchgate.net/profile/Victor-Iheaka/publication/390065025_Diagnosing_and_c</w:t>
        </w:r>
        <w:r>
          <w:rPr>
            <w:color w:val="1155CC"/>
            <w:u w:val="single"/>
          </w:rPr>
          <w:t>orrecting_violations_of_normality_and_constant_variance_assumptions_in_multiple_linear_regression_analysis/links/67ddbea53ad6d174c4a4db05/Diagnosing-and-correcting-violations-of-normality-and-constant-variance-assumptions-in-multiple-linear-regression-anal</w:t>
        </w:r>
        <w:r>
          <w:rPr>
            <w:color w:val="1155CC"/>
            <w:u w:val="single"/>
          </w:rPr>
          <w:t>ysis.pdf</w:t>
        </w:r>
      </w:hyperlink>
    </w:p>
    <w:p w:rsidR="00BB7F11" w:rsidRDefault="00A947D5">
      <w:pPr>
        <w:pBdr>
          <w:top w:val="nil"/>
          <w:left w:val="nil"/>
          <w:bottom w:val="nil"/>
          <w:right w:val="nil"/>
          <w:between w:val="nil"/>
        </w:pBdr>
        <w:spacing w:after="0" w:line="360" w:lineRule="auto"/>
        <w:rPr>
          <w:color w:val="000000"/>
        </w:rPr>
      </w:pPr>
      <w:r>
        <w:rPr>
          <w:color w:val="222222"/>
          <w:highlight w:val="white"/>
        </w:rPr>
        <w:lastRenderedPageBreak/>
        <w:t xml:space="preserve">Ismael, O., 2025. The Standard Deviation Score: a novel similarity metric for data analysis. </w:t>
      </w:r>
      <w:r>
        <w:rPr>
          <w:i/>
          <w:iCs/>
          <w:color w:val="222222"/>
          <w:highlight w:val="white"/>
        </w:rPr>
        <w:t>Journal of Big Data</w:t>
      </w:r>
      <w:r>
        <w:rPr>
          <w:color w:val="222222"/>
          <w:highlight w:val="white"/>
        </w:rPr>
        <w:t xml:space="preserve">, </w:t>
      </w:r>
      <w:r>
        <w:rPr>
          <w:i/>
          <w:iCs/>
          <w:color w:val="222222"/>
          <w:highlight w:val="white"/>
        </w:rPr>
        <w:t>12</w:t>
      </w:r>
      <w:r>
        <w:rPr>
          <w:color w:val="222222"/>
          <w:highlight w:val="white"/>
        </w:rPr>
        <w:t>(1), p.58.</w:t>
      </w:r>
      <w:r>
        <w:rPr>
          <w:color w:val="000000"/>
        </w:rPr>
        <w:t xml:space="preserve"> </w:t>
      </w:r>
      <w:hyperlink r:id="rId27">
        <w:r>
          <w:rPr>
            <w:color w:val="1155CC"/>
            <w:u w:val="single"/>
          </w:rPr>
          <w:t>https://doi.org/10.1186/s40537-025-01091-z</w:t>
        </w:r>
      </w:hyperlink>
    </w:p>
    <w:p w:rsidR="00BB7F11" w:rsidRDefault="00A947D5">
      <w:pPr>
        <w:spacing w:line="360" w:lineRule="auto"/>
      </w:pPr>
      <w:proofErr w:type="gramStart"/>
      <w:r>
        <w:t>Kaggle.com(</w:t>
      </w:r>
      <w:proofErr w:type="gramEnd"/>
      <w:r>
        <w:t>2024</w:t>
      </w:r>
      <w:r>
        <w:t xml:space="preserve">). Capital </w:t>
      </w:r>
      <w:proofErr w:type="spellStart"/>
      <w:r>
        <w:t>bikeshare</w:t>
      </w:r>
      <w:proofErr w:type="spellEnd"/>
      <w:r>
        <w:t xml:space="preserve"> dataset 2020/05~2024/08. </w:t>
      </w:r>
      <w:hyperlink r:id="rId28">
        <w:r>
          <w:rPr>
            <w:color w:val="0000FF"/>
            <w:u w:val="single"/>
          </w:rPr>
          <w:t>https://www.kaggle.com/datasets/taweilo/capital-bikeshare-dataset-202005202408</w:t>
        </w:r>
      </w:hyperlink>
    </w:p>
    <w:p w:rsidR="00BB7F11" w:rsidRDefault="00A947D5">
      <w:pPr>
        <w:pBdr>
          <w:top w:val="nil"/>
          <w:left w:val="nil"/>
          <w:bottom w:val="nil"/>
          <w:right w:val="nil"/>
          <w:between w:val="nil"/>
        </w:pBdr>
        <w:spacing w:after="0" w:line="360" w:lineRule="auto"/>
        <w:rPr>
          <w:color w:val="000000"/>
        </w:rPr>
      </w:pPr>
      <w:proofErr w:type="spellStart"/>
      <w:r>
        <w:rPr>
          <w:color w:val="222222"/>
          <w:highlight w:val="white"/>
        </w:rPr>
        <w:t>Maciejowska</w:t>
      </w:r>
      <w:proofErr w:type="spellEnd"/>
      <w:r>
        <w:rPr>
          <w:color w:val="222222"/>
          <w:highlight w:val="white"/>
        </w:rPr>
        <w:t xml:space="preserve">, K., </w:t>
      </w:r>
      <w:proofErr w:type="spellStart"/>
      <w:r>
        <w:rPr>
          <w:color w:val="222222"/>
          <w:highlight w:val="white"/>
        </w:rPr>
        <w:t>Lipiecki</w:t>
      </w:r>
      <w:proofErr w:type="spellEnd"/>
      <w:r>
        <w:rPr>
          <w:color w:val="222222"/>
          <w:highlight w:val="white"/>
        </w:rPr>
        <w:t xml:space="preserve">, A. and </w:t>
      </w:r>
      <w:proofErr w:type="spellStart"/>
      <w:r>
        <w:rPr>
          <w:color w:val="222222"/>
          <w:highlight w:val="white"/>
        </w:rPr>
        <w:t>Uniejewski</w:t>
      </w:r>
      <w:proofErr w:type="spellEnd"/>
      <w:r>
        <w:rPr>
          <w:color w:val="222222"/>
          <w:highlight w:val="white"/>
        </w:rPr>
        <w:t xml:space="preserve">, B., 2026. Statistical and economic evaluation of forecasts in electricity markets: Beyond RMSE and MAE. </w:t>
      </w:r>
      <w:proofErr w:type="gramStart"/>
      <w:r>
        <w:rPr>
          <w:i/>
          <w:iCs/>
          <w:color w:val="222222"/>
          <w:highlight w:val="white"/>
        </w:rPr>
        <w:t>Energy Conversion and Management</w:t>
      </w:r>
      <w:r>
        <w:rPr>
          <w:color w:val="222222"/>
          <w:highlight w:val="white"/>
        </w:rPr>
        <w:t xml:space="preserve">, </w:t>
      </w:r>
      <w:r>
        <w:rPr>
          <w:i/>
          <w:iCs/>
          <w:color w:val="222222"/>
          <w:highlight w:val="white"/>
        </w:rPr>
        <w:t>356</w:t>
      </w:r>
      <w:r>
        <w:rPr>
          <w:color w:val="222222"/>
          <w:highlight w:val="white"/>
        </w:rPr>
        <w:t>, p.121408.</w:t>
      </w:r>
      <w:proofErr w:type="gramEnd"/>
      <w:r>
        <w:rPr>
          <w:color w:val="000000"/>
        </w:rPr>
        <w:t xml:space="preserve"> </w:t>
      </w:r>
      <w:hyperlink r:id="rId29">
        <w:r>
          <w:rPr>
            <w:color w:val="1155CC"/>
            <w:u w:val="single"/>
          </w:rPr>
          <w:t>https</w:t>
        </w:r>
        <w:r>
          <w:rPr>
            <w:color w:val="1155CC"/>
            <w:u w:val="single"/>
          </w:rPr>
          <w:t>://arxiv.org/pdf/2511.13616</w:t>
        </w:r>
      </w:hyperlink>
    </w:p>
    <w:p w:rsidR="00BB7F11" w:rsidRDefault="00A947D5">
      <w:pPr>
        <w:pBdr>
          <w:top w:val="nil"/>
          <w:left w:val="nil"/>
          <w:bottom w:val="nil"/>
          <w:right w:val="nil"/>
          <w:between w:val="nil"/>
        </w:pBdr>
        <w:spacing w:after="0" w:line="360" w:lineRule="auto"/>
        <w:rPr>
          <w:color w:val="000000"/>
        </w:rPr>
      </w:pPr>
      <w:proofErr w:type="spellStart"/>
      <w:proofErr w:type="gramStart"/>
      <w:r>
        <w:rPr>
          <w:color w:val="222222"/>
          <w:highlight w:val="white"/>
        </w:rPr>
        <w:t>Maitra</w:t>
      </w:r>
      <w:proofErr w:type="spellEnd"/>
      <w:r>
        <w:rPr>
          <w:color w:val="222222"/>
          <w:highlight w:val="white"/>
        </w:rPr>
        <w:t xml:space="preserve">, S. and </w:t>
      </w:r>
      <w:proofErr w:type="spellStart"/>
      <w:r>
        <w:rPr>
          <w:color w:val="222222"/>
          <w:highlight w:val="white"/>
        </w:rPr>
        <w:t>Politis</w:t>
      </w:r>
      <w:proofErr w:type="spellEnd"/>
      <w:r>
        <w:rPr>
          <w:color w:val="222222"/>
          <w:highlight w:val="white"/>
        </w:rPr>
        <w:t>, D.N., 2024.</w:t>
      </w:r>
      <w:proofErr w:type="gramEnd"/>
      <w:r>
        <w:rPr>
          <w:color w:val="222222"/>
          <w:highlight w:val="white"/>
        </w:rPr>
        <w:t xml:space="preserve"> </w:t>
      </w:r>
      <w:proofErr w:type="spellStart"/>
      <w:proofErr w:type="gramStart"/>
      <w:r>
        <w:rPr>
          <w:color w:val="222222"/>
          <w:highlight w:val="white"/>
        </w:rPr>
        <w:t>Prepivoted</w:t>
      </w:r>
      <w:proofErr w:type="spellEnd"/>
      <w:r>
        <w:rPr>
          <w:color w:val="222222"/>
          <w:highlight w:val="white"/>
        </w:rPr>
        <w:t xml:space="preserve"> augmented dickey-fuller test with bootstrap-assisted lag length selection.</w:t>
      </w:r>
      <w:proofErr w:type="gramEnd"/>
      <w:r>
        <w:rPr>
          <w:color w:val="222222"/>
          <w:highlight w:val="white"/>
        </w:rPr>
        <w:t xml:space="preserve"> </w:t>
      </w:r>
      <w:proofErr w:type="gramStart"/>
      <w:r>
        <w:rPr>
          <w:i/>
          <w:iCs/>
          <w:color w:val="222222"/>
          <w:highlight w:val="white"/>
        </w:rPr>
        <w:t>Stats</w:t>
      </w:r>
      <w:r>
        <w:rPr>
          <w:color w:val="222222"/>
          <w:highlight w:val="white"/>
        </w:rPr>
        <w:t xml:space="preserve">, </w:t>
      </w:r>
      <w:r>
        <w:rPr>
          <w:i/>
          <w:iCs/>
          <w:color w:val="222222"/>
          <w:highlight w:val="white"/>
        </w:rPr>
        <w:t>7</w:t>
      </w:r>
      <w:r>
        <w:rPr>
          <w:color w:val="222222"/>
          <w:highlight w:val="white"/>
        </w:rPr>
        <w:t>(4), pp.1226-1243.</w:t>
      </w:r>
      <w:proofErr w:type="gramEnd"/>
      <w:r>
        <w:rPr>
          <w:color w:val="000000"/>
        </w:rPr>
        <w:t xml:space="preserve"> </w:t>
      </w:r>
      <w:hyperlink r:id="rId30">
        <w:r>
          <w:rPr>
            <w:color w:val="1155CC"/>
            <w:u w:val="single"/>
          </w:rPr>
          <w:t>https://doi.org/10.3390</w:t>
        </w:r>
        <w:r>
          <w:rPr>
            <w:color w:val="1155CC"/>
            <w:u w:val="single"/>
          </w:rPr>
          <w:t>/stats7040072</w:t>
        </w:r>
      </w:hyperlink>
    </w:p>
    <w:p w:rsidR="00BB7F11" w:rsidRDefault="00A947D5">
      <w:pPr>
        <w:pBdr>
          <w:top w:val="nil"/>
          <w:left w:val="nil"/>
          <w:bottom w:val="nil"/>
          <w:right w:val="nil"/>
          <w:between w:val="nil"/>
        </w:pBdr>
        <w:spacing w:after="0" w:line="360" w:lineRule="auto"/>
        <w:rPr>
          <w:color w:val="000000"/>
        </w:rPr>
      </w:pPr>
      <w:proofErr w:type="spellStart"/>
      <w:r>
        <w:rPr>
          <w:color w:val="222222"/>
          <w:highlight w:val="white"/>
        </w:rPr>
        <w:t>McAlinn</w:t>
      </w:r>
      <w:proofErr w:type="spellEnd"/>
      <w:r>
        <w:rPr>
          <w:color w:val="222222"/>
          <w:highlight w:val="white"/>
        </w:rPr>
        <w:t xml:space="preserve">, K. and </w:t>
      </w:r>
      <w:proofErr w:type="spellStart"/>
      <w:r>
        <w:rPr>
          <w:color w:val="222222"/>
          <w:highlight w:val="white"/>
        </w:rPr>
        <w:t>Takanashi</w:t>
      </w:r>
      <w:proofErr w:type="spellEnd"/>
      <w:r>
        <w:rPr>
          <w:color w:val="222222"/>
          <w:highlight w:val="white"/>
        </w:rPr>
        <w:t xml:space="preserve">, K., 2025. </w:t>
      </w:r>
      <w:proofErr w:type="gramStart"/>
      <w:r>
        <w:rPr>
          <w:color w:val="222222"/>
          <w:highlight w:val="white"/>
        </w:rPr>
        <w:t>Optimal Hold-Out Size in Cross-Validation.</w:t>
      </w:r>
      <w:proofErr w:type="gramEnd"/>
      <w:r>
        <w:rPr>
          <w:color w:val="222222"/>
          <w:highlight w:val="white"/>
        </w:rPr>
        <w:t xml:space="preserve"> </w:t>
      </w:r>
      <w:proofErr w:type="spellStart"/>
      <w:proofErr w:type="gramStart"/>
      <w:r>
        <w:rPr>
          <w:i/>
          <w:iCs/>
          <w:color w:val="222222"/>
          <w:highlight w:val="white"/>
        </w:rPr>
        <w:t>arXiv</w:t>
      </w:r>
      <w:proofErr w:type="spellEnd"/>
      <w:proofErr w:type="gramEnd"/>
      <w:r>
        <w:rPr>
          <w:i/>
          <w:iCs/>
          <w:color w:val="222222"/>
          <w:highlight w:val="white"/>
        </w:rPr>
        <w:t xml:space="preserve"> preprint arXiv:2511.12698</w:t>
      </w:r>
      <w:r>
        <w:rPr>
          <w:color w:val="222222"/>
          <w:highlight w:val="white"/>
        </w:rPr>
        <w:t>.</w:t>
      </w:r>
      <w:r>
        <w:rPr>
          <w:color w:val="000000"/>
        </w:rPr>
        <w:t xml:space="preserve"> </w:t>
      </w:r>
      <w:hyperlink r:id="rId31">
        <w:r>
          <w:rPr>
            <w:color w:val="1155CC"/>
            <w:u w:val="single"/>
          </w:rPr>
          <w:t>https://arxiv.org/pdf/2511.12698</w:t>
        </w:r>
      </w:hyperlink>
    </w:p>
    <w:p w:rsidR="00BB7F11" w:rsidRDefault="00A947D5">
      <w:pPr>
        <w:pBdr>
          <w:top w:val="nil"/>
          <w:left w:val="nil"/>
          <w:bottom w:val="nil"/>
          <w:right w:val="nil"/>
          <w:between w:val="nil"/>
        </w:pBdr>
        <w:spacing w:after="0" w:line="360" w:lineRule="auto"/>
        <w:rPr>
          <w:color w:val="000000"/>
        </w:rPr>
      </w:pPr>
      <w:proofErr w:type="spellStart"/>
      <w:proofErr w:type="gramStart"/>
      <w:r>
        <w:rPr>
          <w:color w:val="222222"/>
          <w:highlight w:val="white"/>
        </w:rPr>
        <w:t>Zadeh</w:t>
      </w:r>
      <w:proofErr w:type="spellEnd"/>
      <w:r>
        <w:rPr>
          <w:color w:val="222222"/>
          <w:highlight w:val="white"/>
        </w:rPr>
        <w:t xml:space="preserve">, H.S., Zhang, L., </w:t>
      </w:r>
      <w:proofErr w:type="spellStart"/>
      <w:r>
        <w:rPr>
          <w:color w:val="222222"/>
          <w:highlight w:val="white"/>
        </w:rPr>
        <w:t>Fackrell</w:t>
      </w:r>
      <w:proofErr w:type="spellEnd"/>
      <w:r>
        <w:rPr>
          <w:color w:val="222222"/>
          <w:highlight w:val="white"/>
        </w:rPr>
        <w:t xml:space="preserve">, M. and </w:t>
      </w:r>
      <w:proofErr w:type="spellStart"/>
      <w:r>
        <w:rPr>
          <w:color w:val="222222"/>
          <w:highlight w:val="white"/>
        </w:rPr>
        <w:t>Anj</w:t>
      </w:r>
      <w:r>
        <w:rPr>
          <w:color w:val="222222"/>
          <w:highlight w:val="white"/>
        </w:rPr>
        <w:t>omshoa</w:t>
      </w:r>
      <w:proofErr w:type="spellEnd"/>
      <w:r>
        <w:rPr>
          <w:color w:val="222222"/>
          <w:highlight w:val="white"/>
        </w:rPr>
        <w:t>, H., 2025.</w:t>
      </w:r>
      <w:proofErr w:type="gramEnd"/>
      <w:r>
        <w:rPr>
          <w:color w:val="222222"/>
          <w:highlight w:val="white"/>
        </w:rPr>
        <w:t xml:space="preserve"> </w:t>
      </w:r>
      <w:proofErr w:type="gramStart"/>
      <w:r>
        <w:rPr>
          <w:color w:val="222222"/>
          <w:highlight w:val="white"/>
        </w:rPr>
        <w:t>Advanced forecasting of emergency surgical case arrivals: Enhancing operating room performance.</w:t>
      </w:r>
      <w:proofErr w:type="gramEnd"/>
      <w:r>
        <w:rPr>
          <w:color w:val="222222"/>
          <w:highlight w:val="white"/>
        </w:rPr>
        <w:t xml:space="preserve"> </w:t>
      </w:r>
      <w:proofErr w:type="gramStart"/>
      <w:r>
        <w:rPr>
          <w:i/>
          <w:iCs/>
          <w:color w:val="222222"/>
          <w:highlight w:val="white"/>
        </w:rPr>
        <w:t>Perioperative Care and Operating Room Management</w:t>
      </w:r>
      <w:r>
        <w:rPr>
          <w:color w:val="222222"/>
          <w:highlight w:val="white"/>
        </w:rPr>
        <w:t xml:space="preserve">, </w:t>
      </w:r>
      <w:r>
        <w:rPr>
          <w:i/>
          <w:iCs/>
          <w:color w:val="222222"/>
          <w:highlight w:val="white"/>
        </w:rPr>
        <w:t>38</w:t>
      </w:r>
      <w:r>
        <w:rPr>
          <w:color w:val="222222"/>
          <w:highlight w:val="white"/>
        </w:rPr>
        <w:t>, p.100451.</w:t>
      </w:r>
      <w:proofErr w:type="gramEnd"/>
      <w:r>
        <w:rPr>
          <w:color w:val="000000"/>
        </w:rPr>
        <w:t xml:space="preserve"> https://doi.org/10.1016/j.pcorm.2024.100451</w:t>
      </w:r>
    </w:p>
    <w:p w:rsidR="00BB7F11" w:rsidRDefault="00A947D5">
      <w:pPr>
        <w:pBdr>
          <w:top w:val="nil"/>
          <w:left w:val="nil"/>
          <w:bottom w:val="nil"/>
          <w:right w:val="nil"/>
          <w:between w:val="nil"/>
        </w:pBdr>
        <w:spacing w:after="0" w:line="360" w:lineRule="auto"/>
        <w:rPr>
          <w:color w:val="000000"/>
        </w:rPr>
      </w:pPr>
      <w:proofErr w:type="spellStart"/>
      <w:proofErr w:type="gramStart"/>
      <w:r>
        <w:rPr>
          <w:color w:val="222222"/>
          <w:highlight w:val="white"/>
        </w:rPr>
        <w:t>Zamprogno</w:t>
      </w:r>
      <w:proofErr w:type="spellEnd"/>
      <w:r>
        <w:rPr>
          <w:color w:val="222222"/>
          <w:highlight w:val="white"/>
        </w:rPr>
        <w:t xml:space="preserve">, M.M. and </w:t>
      </w:r>
      <w:proofErr w:type="spellStart"/>
      <w:r>
        <w:rPr>
          <w:color w:val="222222"/>
          <w:highlight w:val="white"/>
        </w:rPr>
        <w:t>Esztergár</w:t>
      </w:r>
      <w:proofErr w:type="spellEnd"/>
      <w:r>
        <w:rPr>
          <w:color w:val="222222"/>
          <w:highlight w:val="white"/>
        </w:rPr>
        <w:t>-Kiss, D., 2024.</w:t>
      </w:r>
      <w:proofErr w:type="gramEnd"/>
      <w:r>
        <w:rPr>
          <w:color w:val="222222"/>
          <w:highlight w:val="white"/>
        </w:rPr>
        <w:t xml:space="preserve"> Applying cluster analysis for the investigation of travel behavior and user profiles. </w:t>
      </w:r>
      <w:proofErr w:type="spellStart"/>
      <w:proofErr w:type="gramStart"/>
      <w:r>
        <w:rPr>
          <w:i/>
          <w:iCs/>
          <w:color w:val="222222"/>
          <w:highlight w:val="white"/>
        </w:rPr>
        <w:t>Periodica</w:t>
      </w:r>
      <w:proofErr w:type="spellEnd"/>
      <w:r>
        <w:rPr>
          <w:i/>
          <w:iCs/>
          <w:color w:val="222222"/>
          <w:highlight w:val="white"/>
        </w:rPr>
        <w:t xml:space="preserve"> </w:t>
      </w:r>
      <w:proofErr w:type="spellStart"/>
      <w:r>
        <w:rPr>
          <w:i/>
          <w:iCs/>
          <w:color w:val="222222"/>
          <w:highlight w:val="white"/>
        </w:rPr>
        <w:t>Polytechnica</w:t>
      </w:r>
      <w:proofErr w:type="spellEnd"/>
      <w:r>
        <w:rPr>
          <w:i/>
          <w:iCs/>
          <w:color w:val="222222"/>
          <w:highlight w:val="white"/>
        </w:rPr>
        <w:t xml:space="preserve"> Transportation Engineering</w:t>
      </w:r>
      <w:r>
        <w:rPr>
          <w:color w:val="222222"/>
          <w:highlight w:val="white"/>
        </w:rPr>
        <w:t xml:space="preserve">, </w:t>
      </w:r>
      <w:r>
        <w:rPr>
          <w:i/>
          <w:iCs/>
          <w:color w:val="222222"/>
          <w:highlight w:val="white"/>
        </w:rPr>
        <w:t>52</w:t>
      </w:r>
      <w:r>
        <w:rPr>
          <w:color w:val="222222"/>
          <w:highlight w:val="white"/>
        </w:rPr>
        <w:t>(4), pp.362-371.</w:t>
      </w:r>
      <w:proofErr w:type="gramEnd"/>
      <w:r>
        <w:rPr>
          <w:color w:val="000000"/>
        </w:rPr>
        <w:t xml:space="preserve"> </w:t>
      </w:r>
      <w:hyperlink r:id="rId32">
        <w:r>
          <w:rPr>
            <w:color w:val="1155CC"/>
            <w:u w:val="single"/>
          </w:rPr>
          <w:t>https://doi.org/10.3311/PPtr.25663</w:t>
        </w:r>
      </w:hyperlink>
    </w:p>
    <w:p w:rsidR="00BB7F11" w:rsidRDefault="00A947D5">
      <w:pPr>
        <w:spacing w:after="200" w:line="276" w:lineRule="auto"/>
        <w:jc w:val="left"/>
      </w:pPr>
      <w:r>
        <w:br w:type="page"/>
      </w:r>
    </w:p>
    <w:p w:rsidR="00BB7F11" w:rsidRDefault="00A947D5">
      <w:pPr>
        <w:pStyle w:val="Heading1"/>
      </w:pPr>
      <w:bookmarkStart w:id="17" w:name="_heading=h.uudjt8v3z9oa" w:colFirst="0" w:colLast="0"/>
      <w:bookmarkEnd w:id="17"/>
      <w:r>
        <w:lastRenderedPageBreak/>
        <w:t>Appendices</w:t>
      </w:r>
    </w:p>
    <w:p w:rsidR="00BB7F11" w:rsidRDefault="00A947D5">
      <w:pPr>
        <w:pStyle w:val="Heading2"/>
      </w:pPr>
      <w:bookmarkStart w:id="18" w:name="_heading=h.yk18jsgc38z7" w:colFirst="0" w:colLast="0"/>
      <w:bookmarkEnd w:id="18"/>
      <w:r>
        <w:t>Appendix A. Full September 2024 forecast</w:t>
      </w:r>
    </w:p>
    <w:tbl>
      <w:tblPr>
        <w:tblStyle w:val="a4"/>
        <w:tblW w:w="871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60"/>
        <w:gridCol w:w="2376"/>
        <w:gridCol w:w="2088"/>
        <w:gridCol w:w="2088"/>
      </w:tblGrid>
      <w:tr w:rsidR="00BB7F11">
        <w:trPr>
          <w:jc w:val="center"/>
        </w:trPr>
        <w:tc>
          <w:tcPr>
            <w:tcW w:w="2160" w:type="dxa"/>
          </w:tcPr>
          <w:p w:rsidR="00BB7F11" w:rsidRDefault="00A947D5">
            <w:pPr>
              <w:spacing w:line="360" w:lineRule="auto"/>
              <w:rPr>
                <w:b/>
                <w:bCs/>
              </w:rPr>
            </w:pPr>
            <w:r>
              <w:rPr>
                <w:b/>
                <w:bCs/>
              </w:rPr>
              <w:t>Date (2024)</w:t>
            </w:r>
          </w:p>
        </w:tc>
        <w:tc>
          <w:tcPr>
            <w:tcW w:w="2376" w:type="dxa"/>
          </w:tcPr>
          <w:p w:rsidR="00BB7F11" w:rsidRDefault="00A947D5">
            <w:pPr>
              <w:spacing w:line="360" w:lineRule="auto"/>
              <w:rPr>
                <w:b/>
                <w:bCs/>
              </w:rPr>
            </w:pPr>
            <w:r>
              <w:rPr>
                <w:b/>
                <w:bCs/>
              </w:rPr>
              <w:t>Predicted pickups</w:t>
            </w:r>
          </w:p>
        </w:tc>
        <w:tc>
          <w:tcPr>
            <w:tcW w:w="2088" w:type="dxa"/>
          </w:tcPr>
          <w:p w:rsidR="00BB7F11" w:rsidRDefault="00A947D5">
            <w:pPr>
              <w:spacing w:line="360" w:lineRule="auto"/>
              <w:rPr>
                <w:b/>
                <w:bCs/>
              </w:rPr>
            </w:pPr>
            <w:r>
              <w:rPr>
                <w:b/>
                <w:bCs/>
              </w:rPr>
              <w:t>Lower 95%</w:t>
            </w:r>
          </w:p>
        </w:tc>
        <w:tc>
          <w:tcPr>
            <w:tcW w:w="2088" w:type="dxa"/>
          </w:tcPr>
          <w:p w:rsidR="00BB7F11" w:rsidRDefault="00A947D5">
            <w:pPr>
              <w:spacing w:line="360" w:lineRule="auto"/>
              <w:rPr>
                <w:b/>
                <w:bCs/>
              </w:rPr>
            </w:pPr>
            <w:r>
              <w:rPr>
                <w:b/>
                <w:bCs/>
              </w:rPr>
              <w:t>Upper 95%</w:t>
            </w:r>
          </w:p>
        </w:tc>
      </w:tr>
      <w:tr w:rsidR="00BB7F11">
        <w:trPr>
          <w:jc w:val="center"/>
        </w:trPr>
        <w:tc>
          <w:tcPr>
            <w:tcW w:w="2160" w:type="dxa"/>
          </w:tcPr>
          <w:p w:rsidR="00BB7F11" w:rsidRDefault="00A947D5">
            <w:pPr>
              <w:spacing w:line="360" w:lineRule="auto"/>
            </w:pPr>
            <w:r>
              <w:t>01 Sep</w:t>
            </w:r>
          </w:p>
        </w:tc>
        <w:tc>
          <w:tcPr>
            <w:tcW w:w="2376" w:type="dxa"/>
          </w:tcPr>
          <w:p w:rsidR="00BB7F11" w:rsidRDefault="00A947D5">
            <w:pPr>
              <w:spacing w:line="360" w:lineRule="auto"/>
            </w:pPr>
            <w:r>
              <w:t>14,365</w:t>
            </w:r>
          </w:p>
        </w:tc>
        <w:tc>
          <w:tcPr>
            <w:tcW w:w="2088" w:type="dxa"/>
          </w:tcPr>
          <w:p w:rsidR="00BB7F11" w:rsidRDefault="00A947D5">
            <w:pPr>
              <w:spacing w:line="360" w:lineRule="auto"/>
            </w:pPr>
            <w:r>
              <w:t>8,225</w:t>
            </w:r>
          </w:p>
        </w:tc>
        <w:tc>
          <w:tcPr>
            <w:tcW w:w="2088" w:type="dxa"/>
          </w:tcPr>
          <w:p w:rsidR="00BB7F11" w:rsidRDefault="00A947D5">
            <w:pPr>
              <w:spacing w:line="360" w:lineRule="auto"/>
            </w:pPr>
            <w:r>
              <w:t>22,102</w:t>
            </w:r>
          </w:p>
        </w:tc>
      </w:tr>
      <w:tr w:rsidR="00BB7F11">
        <w:trPr>
          <w:jc w:val="center"/>
        </w:trPr>
        <w:tc>
          <w:tcPr>
            <w:tcW w:w="2160" w:type="dxa"/>
          </w:tcPr>
          <w:p w:rsidR="00BB7F11" w:rsidRDefault="00A947D5">
            <w:pPr>
              <w:spacing w:line="360" w:lineRule="auto"/>
            </w:pPr>
            <w:r>
              <w:t>02 Sep</w:t>
            </w:r>
          </w:p>
        </w:tc>
        <w:tc>
          <w:tcPr>
            <w:tcW w:w="2376" w:type="dxa"/>
          </w:tcPr>
          <w:p w:rsidR="00BB7F11" w:rsidRDefault="00A947D5">
            <w:pPr>
              <w:spacing w:line="360" w:lineRule="auto"/>
            </w:pPr>
            <w:r>
              <w:t>15,766</w:t>
            </w:r>
          </w:p>
        </w:tc>
        <w:tc>
          <w:tcPr>
            <w:tcW w:w="2088" w:type="dxa"/>
          </w:tcPr>
          <w:p w:rsidR="00BB7F11" w:rsidRDefault="00A947D5">
            <w:pPr>
              <w:spacing w:line="360" w:lineRule="auto"/>
            </w:pPr>
            <w:r>
              <w:t>9,027</w:t>
            </w:r>
          </w:p>
        </w:tc>
        <w:tc>
          <w:tcPr>
            <w:tcW w:w="2088" w:type="dxa"/>
          </w:tcPr>
          <w:p w:rsidR="00BB7F11" w:rsidRDefault="00A947D5">
            <w:pPr>
              <w:spacing w:line="360" w:lineRule="auto"/>
            </w:pPr>
            <w:r>
              <w:t>24,257</w:t>
            </w:r>
          </w:p>
        </w:tc>
      </w:tr>
      <w:tr w:rsidR="00BB7F11">
        <w:trPr>
          <w:jc w:val="center"/>
        </w:trPr>
        <w:tc>
          <w:tcPr>
            <w:tcW w:w="2160" w:type="dxa"/>
          </w:tcPr>
          <w:p w:rsidR="00BB7F11" w:rsidRDefault="00A947D5">
            <w:pPr>
              <w:spacing w:line="360" w:lineRule="auto"/>
            </w:pPr>
            <w:r>
              <w:t>03 Sep</w:t>
            </w:r>
          </w:p>
        </w:tc>
        <w:tc>
          <w:tcPr>
            <w:tcW w:w="2376" w:type="dxa"/>
          </w:tcPr>
          <w:p w:rsidR="00BB7F11" w:rsidRDefault="00A947D5">
            <w:pPr>
              <w:spacing w:line="360" w:lineRule="auto"/>
            </w:pPr>
            <w:r>
              <w:t>16,046</w:t>
            </w:r>
          </w:p>
        </w:tc>
        <w:tc>
          <w:tcPr>
            <w:tcW w:w="2088" w:type="dxa"/>
          </w:tcPr>
          <w:p w:rsidR="00BB7F11" w:rsidRDefault="00A947D5">
            <w:pPr>
              <w:spacing w:line="360" w:lineRule="auto"/>
            </w:pPr>
            <w:r>
              <w:t>9,188</w:t>
            </w:r>
          </w:p>
        </w:tc>
        <w:tc>
          <w:tcPr>
            <w:tcW w:w="2088" w:type="dxa"/>
          </w:tcPr>
          <w:p w:rsidR="00BB7F11" w:rsidRDefault="00A947D5">
            <w:pPr>
              <w:spacing w:line="360" w:lineRule="auto"/>
            </w:pPr>
            <w:r>
              <w:t>24,689</w:t>
            </w:r>
          </w:p>
        </w:tc>
      </w:tr>
      <w:tr w:rsidR="00BB7F11">
        <w:trPr>
          <w:jc w:val="center"/>
        </w:trPr>
        <w:tc>
          <w:tcPr>
            <w:tcW w:w="2160" w:type="dxa"/>
          </w:tcPr>
          <w:p w:rsidR="00BB7F11" w:rsidRDefault="00A947D5">
            <w:pPr>
              <w:spacing w:line="360" w:lineRule="auto"/>
            </w:pPr>
            <w:r>
              <w:t>04 Sep</w:t>
            </w:r>
          </w:p>
        </w:tc>
        <w:tc>
          <w:tcPr>
            <w:tcW w:w="2376" w:type="dxa"/>
          </w:tcPr>
          <w:p w:rsidR="00BB7F11" w:rsidRDefault="00A947D5">
            <w:pPr>
              <w:spacing w:line="360" w:lineRule="auto"/>
            </w:pPr>
            <w:r>
              <w:t>17,147</w:t>
            </w:r>
          </w:p>
        </w:tc>
        <w:tc>
          <w:tcPr>
            <w:tcW w:w="2088" w:type="dxa"/>
          </w:tcPr>
          <w:p w:rsidR="00BB7F11" w:rsidRDefault="00A947D5">
            <w:pPr>
              <w:spacing w:line="360" w:lineRule="auto"/>
            </w:pPr>
            <w:r>
              <w:t>9,818</w:t>
            </w:r>
          </w:p>
        </w:tc>
        <w:tc>
          <w:tcPr>
            <w:tcW w:w="2088" w:type="dxa"/>
          </w:tcPr>
          <w:p w:rsidR="00BB7F11" w:rsidRDefault="00A947D5">
            <w:pPr>
              <w:spacing w:line="360" w:lineRule="auto"/>
            </w:pPr>
            <w:r>
              <w:t>26,382</w:t>
            </w:r>
          </w:p>
        </w:tc>
      </w:tr>
      <w:tr w:rsidR="00BB7F11">
        <w:trPr>
          <w:jc w:val="center"/>
        </w:trPr>
        <w:tc>
          <w:tcPr>
            <w:tcW w:w="2160" w:type="dxa"/>
          </w:tcPr>
          <w:p w:rsidR="00BB7F11" w:rsidRDefault="00A947D5">
            <w:pPr>
              <w:spacing w:line="360" w:lineRule="auto"/>
            </w:pPr>
            <w:r>
              <w:t>05 Sep</w:t>
            </w:r>
          </w:p>
        </w:tc>
        <w:tc>
          <w:tcPr>
            <w:tcW w:w="2376" w:type="dxa"/>
          </w:tcPr>
          <w:p w:rsidR="00BB7F11" w:rsidRDefault="00A947D5">
            <w:pPr>
              <w:spacing w:line="360" w:lineRule="auto"/>
            </w:pPr>
            <w:r>
              <w:t>16,360</w:t>
            </w:r>
          </w:p>
        </w:tc>
        <w:tc>
          <w:tcPr>
            <w:tcW w:w="2088" w:type="dxa"/>
          </w:tcPr>
          <w:p w:rsidR="00BB7F11" w:rsidRDefault="00A947D5">
            <w:pPr>
              <w:spacing w:line="360" w:lineRule="auto"/>
            </w:pPr>
            <w:r>
              <w:t>9,367</w:t>
            </w:r>
          </w:p>
        </w:tc>
        <w:tc>
          <w:tcPr>
            <w:tcW w:w="2088" w:type="dxa"/>
          </w:tcPr>
          <w:p w:rsidR="00BB7F11" w:rsidRDefault="00A947D5">
            <w:pPr>
              <w:spacing w:line="360" w:lineRule="auto"/>
            </w:pPr>
            <w:r>
              <w:t>25,171</w:t>
            </w:r>
          </w:p>
        </w:tc>
      </w:tr>
      <w:tr w:rsidR="00BB7F11">
        <w:trPr>
          <w:jc w:val="center"/>
        </w:trPr>
        <w:tc>
          <w:tcPr>
            <w:tcW w:w="2160" w:type="dxa"/>
          </w:tcPr>
          <w:p w:rsidR="00BB7F11" w:rsidRDefault="00A947D5">
            <w:pPr>
              <w:spacing w:line="360" w:lineRule="auto"/>
            </w:pPr>
            <w:r>
              <w:t>06 Sep</w:t>
            </w:r>
          </w:p>
        </w:tc>
        <w:tc>
          <w:tcPr>
            <w:tcW w:w="2376" w:type="dxa"/>
          </w:tcPr>
          <w:p w:rsidR="00BB7F11" w:rsidRDefault="00A947D5">
            <w:pPr>
              <w:spacing w:line="360" w:lineRule="auto"/>
            </w:pPr>
            <w:r>
              <w:t>16,453</w:t>
            </w:r>
          </w:p>
        </w:tc>
        <w:tc>
          <w:tcPr>
            <w:tcW w:w="2088" w:type="dxa"/>
          </w:tcPr>
          <w:p w:rsidR="00BB7F11" w:rsidRDefault="00A947D5">
            <w:pPr>
              <w:spacing w:line="360" w:lineRule="auto"/>
            </w:pPr>
            <w:r>
              <w:t>9,421</w:t>
            </w:r>
          </w:p>
        </w:tc>
        <w:tc>
          <w:tcPr>
            <w:tcW w:w="2088" w:type="dxa"/>
          </w:tcPr>
          <w:p w:rsidR="00BB7F11" w:rsidRDefault="00A947D5">
            <w:pPr>
              <w:spacing w:line="360" w:lineRule="auto"/>
            </w:pPr>
            <w:r>
              <w:t>25,314</w:t>
            </w:r>
          </w:p>
        </w:tc>
      </w:tr>
      <w:tr w:rsidR="00BB7F11">
        <w:trPr>
          <w:jc w:val="center"/>
        </w:trPr>
        <w:tc>
          <w:tcPr>
            <w:tcW w:w="2160" w:type="dxa"/>
          </w:tcPr>
          <w:p w:rsidR="00BB7F11" w:rsidRDefault="00A947D5">
            <w:pPr>
              <w:spacing w:line="360" w:lineRule="auto"/>
            </w:pPr>
            <w:r>
              <w:t>07 Sep</w:t>
            </w:r>
          </w:p>
        </w:tc>
        <w:tc>
          <w:tcPr>
            <w:tcW w:w="2376" w:type="dxa"/>
          </w:tcPr>
          <w:p w:rsidR="00BB7F11" w:rsidRDefault="00A947D5">
            <w:pPr>
              <w:spacing w:line="360" w:lineRule="auto"/>
            </w:pPr>
            <w:r>
              <w:t>15,340</w:t>
            </w:r>
          </w:p>
        </w:tc>
        <w:tc>
          <w:tcPr>
            <w:tcW w:w="2088" w:type="dxa"/>
          </w:tcPr>
          <w:p w:rsidR="00BB7F11" w:rsidRDefault="00A947D5">
            <w:pPr>
              <w:spacing w:line="360" w:lineRule="auto"/>
            </w:pPr>
            <w:r>
              <w:t>8,784</w:t>
            </w:r>
          </w:p>
        </w:tc>
        <w:tc>
          <w:tcPr>
            <w:tcW w:w="2088" w:type="dxa"/>
          </w:tcPr>
          <w:p w:rsidR="00BB7F11" w:rsidRDefault="00A947D5">
            <w:pPr>
              <w:spacing w:line="360" w:lineRule="auto"/>
            </w:pPr>
            <w:r>
              <w:t>23,602</w:t>
            </w:r>
          </w:p>
        </w:tc>
      </w:tr>
      <w:tr w:rsidR="00BB7F11">
        <w:trPr>
          <w:jc w:val="center"/>
        </w:trPr>
        <w:tc>
          <w:tcPr>
            <w:tcW w:w="2160" w:type="dxa"/>
          </w:tcPr>
          <w:p w:rsidR="00BB7F11" w:rsidRDefault="00A947D5">
            <w:pPr>
              <w:spacing w:line="360" w:lineRule="auto"/>
            </w:pPr>
            <w:r>
              <w:t>08 Sep</w:t>
            </w:r>
          </w:p>
        </w:tc>
        <w:tc>
          <w:tcPr>
            <w:tcW w:w="2376" w:type="dxa"/>
          </w:tcPr>
          <w:p w:rsidR="00BB7F11" w:rsidRDefault="00A947D5">
            <w:pPr>
              <w:spacing w:line="360" w:lineRule="auto"/>
            </w:pPr>
            <w:r>
              <w:t>14,025</w:t>
            </w:r>
          </w:p>
        </w:tc>
        <w:tc>
          <w:tcPr>
            <w:tcW w:w="2088" w:type="dxa"/>
          </w:tcPr>
          <w:p w:rsidR="00BB7F11" w:rsidRDefault="00A947D5">
            <w:pPr>
              <w:spacing w:line="360" w:lineRule="auto"/>
            </w:pPr>
            <w:r>
              <w:t>8,030</w:t>
            </w:r>
          </w:p>
        </w:tc>
        <w:tc>
          <w:tcPr>
            <w:tcW w:w="2088" w:type="dxa"/>
          </w:tcPr>
          <w:p w:rsidR="00BB7F11" w:rsidRDefault="00A947D5">
            <w:pPr>
              <w:spacing w:line="360" w:lineRule="auto"/>
            </w:pPr>
            <w:r>
              <w:t>21,578</w:t>
            </w:r>
          </w:p>
        </w:tc>
      </w:tr>
      <w:tr w:rsidR="00BB7F11">
        <w:trPr>
          <w:jc w:val="center"/>
        </w:trPr>
        <w:tc>
          <w:tcPr>
            <w:tcW w:w="2160" w:type="dxa"/>
          </w:tcPr>
          <w:p w:rsidR="00BB7F11" w:rsidRDefault="00A947D5">
            <w:pPr>
              <w:spacing w:line="360" w:lineRule="auto"/>
            </w:pPr>
            <w:r>
              <w:t>09 Sep</w:t>
            </w:r>
          </w:p>
        </w:tc>
        <w:tc>
          <w:tcPr>
            <w:tcW w:w="2376" w:type="dxa"/>
          </w:tcPr>
          <w:p w:rsidR="00BB7F11" w:rsidRDefault="00A947D5">
            <w:pPr>
              <w:spacing w:line="360" w:lineRule="auto"/>
            </w:pPr>
            <w:r>
              <w:t>11,370</w:t>
            </w:r>
          </w:p>
        </w:tc>
        <w:tc>
          <w:tcPr>
            <w:tcW w:w="2088" w:type="dxa"/>
          </w:tcPr>
          <w:p w:rsidR="00BB7F11" w:rsidRDefault="00A947D5">
            <w:pPr>
              <w:spacing w:line="360" w:lineRule="auto"/>
            </w:pPr>
            <w:r>
              <w:t>6,510</w:t>
            </w:r>
          </w:p>
        </w:tc>
        <w:tc>
          <w:tcPr>
            <w:tcW w:w="2088" w:type="dxa"/>
          </w:tcPr>
          <w:p w:rsidR="00BB7F11" w:rsidRDefault="00A947D5">
            <w:pPr>
              <w:spacing w:line="360" w:lineRule="auto"/>
            </w:pPr>
            <w:r>
              <w:t>17,494</w:t>
            </w:r>
          </w:p>
        </w:tc>
      </w:tr>
      <w:tr w:rsidR="00BB7F11">
        <w:trPr>
          <w:jc w:val="center"/>
        </w:trPr>
        <w:tc>
          <w:tcPr>
            <w:tcW w:w="2160" w:type="dxa"/>
          </w:tcPr>
          <w:p w:rsidR="00BB7F11" w:rsidRDefault="00A947D5">
            <w:pPr>
              <w:spacing w:line="360" w:lineRule="auto"/>
            </w:pPr>
            <w:r>
              <w:t>10 Sep</w:t>
            </w:r>
          </w:p>
        </w:tc>
        <w:tc>
          <w:tcPr>
            <w:tcW w:w="2376" w:type="dxa"/>
          </w:tcPr>
          <w:p w:rsidR="00BB7F11" w:rsidRDefault="00A947D5">
            <w:pPr>
              <w:spacing w:line="360" w:lineRule="auto"/>
            </w:pPr>
            <w:r>
              <w:t>10,892</w:t>
            </w:r>
          </w:p>
        </w:tc>
        <w:tc>
          <w:tcPr>
            <w:tcW w:w="2088" w:type="dxa"/>
          </w:tcPr>
          <w:p w:rsidR="00BB7F11" w:rsidRDefault="00A947D5">
            <w:pPr>
              <w:spacing w:line="360" w:lineRule="auto"/>
            </w:pPr>
            <w:r>
              <w:t>6,237</w:t>
            </w:r>
          </w:p>
        </w:tc>
        <w:tc>
          <w:tcPr>
            <w:tcW w:w="2088" w:type="dxa"/>
          </w:tcPr>
          <w:p w:rsidR="00BB7F11" w:rsidRDefault="00A947D5">
            <w:pPr>
              <w:spacing w:line="360" w:lineRule="auto"/>
            </w:pPr>
            <w:r>
              <w:t>16,759</w:t>
            </w:r>
          </w:p>
        </w:tc>
      </w:tr>
      <w:tr w:rsidR="00BB7F11">
        <w:trPr>
          <w:jc w:val="center"/>
        </w:trPr>
        <w:tc>
          <w:tcPr>
            <w:tcW w:w="2160" w:type="dxa"/>
          </w:tcPr>
          <w:p w:rsidR="00BB7F11" w:rsidRDefault="00A947D5">
            <w:pPr>
              <w:spacing w:line="360" w:lineRule="auto"/>
            </w:pPr>
            <w:r>
              <w:t>11 Sep</w:t>
            </w:r>
          </w:p>
        </w:tc>
        <w:tc>
          <w:tcPr>
            <w:tcW w:w="2376" w:type="dxa"/>
          </w:tcPr>
          <w:p w:rsidR="00BB7F11" w:rsidRDefault="00A947D5">
            <w:pPr>
              <w:spacing w:line="360" w:lineRule="auto"/>
            </w:pPr>
            <w:r>
              <w:t>12,200</w:t>
            </w:r>
          </w:p>
        </w:tc>
        <w:tc>
          <w:tcPr>
            <w:tcW w:w="2088" w:type="dxa"/>
          </w:tcPr>
          <w:p w:rsidR="00BB7F11" w:rsidRDefault="00A947D5">
            <w:pPr>
              <w:spacing w:line="360" w:lineRule="auto"/>
            </w:pPr>
            <w:r>
              <w:t>6,985</w:t>
            </w:r>
          </w:p>
        </w:tc>
        <w:tc>
          <w:tcPr>
            <w:tcW w:w="2088" w:type="dxa"/>
          </w:tcPr>
          <w:p w:rsidR="00BB7F11" w:rsidRDefault="00A947D5">
            <w:pPr>
              <w:spacing w:line="360" w:lineRule="auto"/>
            </w:pPr>
            <w:r>
              <w:t>18,771</w:t>
            </w:r>
          </w:p>
        </w:tc>
      </w:tr>
      <w:tr w:rsidR="00BB7F11">
        <w:trPr>
          <w:jc w:val="center"/>
        </w:trPr>
        <w:tc>
          <w:tcPr>
            <w:tcW w:w="2160" w:type="dxa"/>
          </w:tcPr>
          <w:p w:rsidR="00BB7F11" w:rsidRDefault="00A947D5">
            <w:pPr>
              <w:spacing w:line="360" w:lineRule="auto"/>
            </w:pPr>
            <w:r>
              <w:t>12 Sep</w:t>
            </w:r>
          </w:p>
        </w:tc>
        <w:tc>
          <w:tcPr>
            <w:tcW w:w="2376" w:type="dxa"/>
          </w:tcPr>
          <w:p w:rsidR="00BB7F11" w:rsidRDefault="00A947D5">
            <w:pPr>
              <w:spacing w:line="360" w:lineRule="auto"/>
            </w:pPr>
            <w:r>
              <w:t>13,769</w:t>
            </w:r>
          </w:p>
        </w:tc>
        <w:tc>
          <w:tcPr>
            <w:tcW w:w="2088" w:type="dxa"/>
          </w:tcPr>
          <w:p w:rsidR="00BB7F11" w:rsidRDefault="00A947D5">
            <w:pPr>
              <w:spacing w:line="360" w:lineRule="auto"/>
            </w:pPr>
            <w:r>
              <w:t>7,884</w:t>
            </w:r>
          </w:p>
        </w:tc>
        <w:tc>
          <w:tcPr>
            <w:tcW w:w="2088" w:type="dxa"/>
          </w:tcPr>
          <w:p w:rsidR="00BB7F11" w:rsidRDefault="00A947D5">
            <w:pPr>
              <w:spacing w:line="360" w:lineRule="auto"/>
            </w:pPr>
            <w:r>
              <w:t>21,185</w:t>
            </w:r>
          </w:p>
        </w:tc>
      </w:tr>
      <w:tr w:rsidR="00BB7F11">
        <w:trPr>
          <w:jc w:val="center"/>
        </w:trPr>
        <w:tc>
          <w:tcPr>
            <w:tcW w:w="2160" w:type="dxa"/>
          </w:tcPr>
          <w:p w:rsidR="00BB7F11" w:rsidRDefault="00A947D5">
            <w:pPr>
              <w:spacing w:line="360" w:lineRule="auto"/>
            </w:pPr>
            <w:r>
              <w:t>13 Sep</w:t>
            </w:r>
          </w:p>
        </w:tc>
        <w:tc>
          <w:tcPr>
            <w:tcW w:w="2376" w:type="dxa"/>
          </w:tcPr>
          <w:p w:rsidR="00BB7F11" w:rsidRDefault="00A947D5">
            <w:pPr>
              <w:spacing w:line="360" w:lineRule="auto"/>
            </w:pPr>
            <w:r>
              <w:t>15,534</w:t>
            </w:r>
          </w:p>
        </w:tc>
        <w:tc>
          <w:tcPr>
            <w:tcW w:w="2088" w:type="dxa"/>
          </w:tcPr>
          <w:p w:rsidR="00BB7F11" w:rsidRDefault="00A947D5">
            <w:pPr>
              <w:spacing w:line="360" w:lineRule="auto"/>
            </w:pPr>
            <w:r>
              <w:t>8,895</w:t>
            </w:r>
          </w:p>
        </w:tc>
        <w:tc>
          <w:tcPr>
            <w:tcW w:w="2088" w:type="dxa"/>
          </w:tcPr>
          <w:p w:rsidR="00BB7F11" w:rsidRDefault="00A947D5">
            <w:pPr>
              <w:spacing w:line="360" w:lineRule="auto"/>
            </w:pPr>
            <w:r>
              <w:t>23,901</w:t>
            </w:r>
          </w:p>
        </w:tc>
      </w:tr>
      <w:tr w:rsidR="00BB7F11">
        <w:trPr>
          <w:jc w:val="center"/>
        </w:trPr>
        <w:tc>
          <w:tcPr>
            <w:tcW w:w="2160" w:type="dxa"/>
          </w:tcPr>
          <w:p w:rsidR="00BB7F11" w:rsidRDefault="00A947D5">
            <w:pPr>
              <w:spacing w:line="360" w:lineRule="auto"/>
            </w:pPr>
            <w:r>
              <w:t>14 Sep</w:t>
            </w:r>
          </w:p>
        </w:tc>
        <w:tc>
          <w:tcPr>
            <w:tcW w:w="2376" w:type="dxa"/>
          </w:tcPr>
          <w:p w:rsidR="00BB7F11" w:rsidRDefault="00A947D5">
            <w:pPr>
              <w:spacing w:line="360" w:lineRule="auto"/>
            </w:pPr>
            <w:r>
              <w:t>15,459</w:t>
            </w:r>
          </w:p>
        </w:tc>
        <w:tc>
          <w:tcPr>
            <w:tcW w:w="2088" w:type="dxa"/>
          </w:tcPr>
          <w:p w:rsidR="00BB7F11" w:rsidRDefault="00A947D5">
            <w:pPr>
              <w:spacing w:line="360" w:lineRule="auto"/>
            </w:pPr>
            <w:r>
              <w:t>8,852</w:t>
            </w:r>
          </w:p>
        </w:tc>
        <w:tc>
          <w:tcPr>
            <w:tcW w:w="2088" w:type="dxa"/>
          </w:tcPr>
          <w:p w:rsidR="00BB7F11" w:rsidRDefault="00A947D5">
            <w:pPr>
              <w:spacing w:line="360" w:lineRule="auto"/>
            </w:pPr>
            <w:r>
              <w:t>23,785</w:t>
            </w:r>
          </w:p>
        </w:tc>
      </w:tr>
      <w:tr w:rsidR="00BB7F11">
        <w:trPr>
          <w:jc w:val="center"/>
        </w:trPr>
        <w:tc>
          <w:tcPr>
            <w:tcW w:w="2160" w:type="dxa"/>
          </w:tcPr>
          <w:p w:rsidR="00BB7F11" w:rsidRDefault="00A947D5">
            <w:pPr>
              <w:spacing w:line="360" w:lineRule="auto"/>
            </w:pPr>
            <w:r>
              <w:t>15 Sep</w:t>
            </w:r>
          </w:p>
        </w:tc>
        <w:tc>
          <w:tcPr>
            <w:tcW w:w="2376" w:type="dxa"/>
          </w:tcPr>
          <w:p w:rsidR="00BB7F11" w:rsidRDefault="00A947D5">
            <w:pPr>
              <w:spacing w:line="360" w:lineRule="auto"/>
            </w:pPr>
            <w:r>
              <w:t>12,943</w:t>
            </w:r>
          </w:p>
        </w:tc>
        <w:tc>
          <w:tcPr>
            <w:tcW w:w="2088" w:type="dxa"/>
          </w:tcPr>
          <w:p w:rsidR="00BB7F11" w:rsidRDefault="00A947D5">
            <w:pPr>
              <w:spacing w:line="360" w:lineRule="auto"/>
            </w:pPr>
            <w:r>
              <w:t>7,411</w:t>
            </w:r>
          </w:p>
        </w:tc>
        <w:tc>
          <w:tcPr>
            <w:tcW w:w="2088" w:type="dxa"/>
          </w:tcPr>
          <w:p w:rsidR="00BB7F11" w:rsidRDefault="00A947D5">
            <w:pPr>
              <w:spacing w:line="360" w:lineRule="auto"/>
            </w:pPr>
            <w:r>
              <w:t>19,914</w:t>
            </w:r>
          </w:p>
        </w:tc>
      </w:tr>
      <w:tr w:rsidR="00BB7F11">
        <w:trPr>
          <w:jc w:val="center"/>
        </w:trPr>
        <w:tc>
          <w:tcPr>
            <w:tcW w:w="2160" w:type="dxa"/>
          </w:tcPr>
          <w:p w:rsidR="00BB7F11" w:rsidRDefault="00A947D5">
            <w:pPr>
              <w:spacing w:line="360" w:lineRule="auto"/>
            </w:pPr>
            <w:r>
              <w:t>16 Sep</w:t>
            </w:r>
          </w:p>
        </w:tc>
        <w:tc>
          <w:tcPr>
            <w:tcW w:w="2376" w:type="dxa"/>
          </w:tcPr>
          <w:p w:rsidR="00BB7F11" w:rsidRDefault="00A947D5">
            <w:pPr>
              <w:spacing w:line="360" w:lineRule="auto"/>
            </w:pPr>
            <w:r>
              <w:t>12,571</w:t>
            </w:r>
          </w:p>
        </w:tc>
        <w:tc>
          <w:tcPr>
            <w:tcW w:w="2088" w:type="dxa"/>
          </w:tcPr>
          <w:p w:rsidR="00BB7F11" w:rsidRDefault="00A947D5">
            <w:pPr>
              <w:spacing w:line="360" w:lineRule="auto"/>
            </w:pPr>
            <w:r>
              <w:t>7,198</w:t>
            </w:r>
          </w:p>
        </w:tc>
        <w:tc>
          <w:tcPr>
            <w:tcW w:w="2088" w:type="dxa"/>
          </w:tcPr>
          <w:p w:rsidR="00BB7F11" w:rsidRDefault="00A947D5">
            <w:pPr>
              <w:spacing w:line="360" w:lineRule="auto"/>
            </w:pPr>
            <w:r>
              <w:t>19,341</w:t>
            </w:r>
          </w:p>
        </w:tc>
      </w:tr>
      <w:tr w:rsidR="00BB7F11">
        <w:trPr>
          <w:jc w:val="center"/>
        </w:trPr>
        <w:tc>
          <w:tcPr>
            <w:tcW w:w="2160" w:type="dxa"/>
          </w:tcPr>
          <w:p w:rsidR="00BB7F11" w:rsidRDefault="00A947D5">
            <w:pPr>
              <w:spacing w:line="360" w:lineRule="auto"/>
            </w:pPr>
            <w:r>
              <w:t>17 Sep</w:t>
            </w:r>
          </w:p>
        </w:tc>
        <w:tc>
          <w:tcPr>
            <w:tcW w:w="2376" w:type="dxa"/>
          </w:tcPr>
          <w:p w:rsidR="00BB7F11" w:rsidRDefault="00A947D5">
            <w:pPr>
              <w:spacing w:line="360" w:lineRule="auto"/>
            </w:pPr>
            <w:r>
              <w:t>11,649</w:t>
            </w:r>
          </w:p>
        </w:tc>
        <w:tc>
          <w:tcPr>
            <w:tcW w:w="2088" w:type="dxa"/>
          </w:tcPr>
          <w:p w:rsidR="00BB7F11" w:rsidRDefault="00A947D5">
            <w:pPr>
              <w:spacing w:line="360" w:lineRule="auto"/>
            </w:pPr>
            <w:r>
              <w:t>6,670</w:t>
            </w:r>
          </w:p>
        </w:tc>
        <w:tc>
          <w:tcPr>
            <w:tcW w:w="2088" w:type="dxa"/>
          </w:tcPr>
          <w:p w:rsidR="00BB7F11" w:rsidRDefault="00A947D5">
            <w:pPr>
              <w:spacing w:line="360" w:lineRule="auto"/>
            </w:pPr>
            <w:r>
              <w:t>17,923</w:t>
            </w:r>
          </w:p>
        </w:tc>
      </w:tr>
      <w:tr w:rsidR="00BB7F11">
        <w:trPr>
          <w:jc w:val="center"/>
        </w:trPr>
        <w:tc>
          <w:tcPr>
            <w:tcW w:w="2160" w:type="dxa"/>
          </w:tcPr>
          <w:p w:rsidR="00BB7F11" w:rsidRDefault="00A947D5">
            <w:pPr>
              <w:spacing w:line="360" w:lineRule="auto"/>
            </w:pPr>
            <w:r>
              <w:t>18 Sep</w:t>
            </w:r>
          </w:p>
        </w:tc>
        <w:tc>
          <w:tcPr>
            <w:tcW w:w="2376" w:type="dxa"/>
          </w:tcPr>
          <w:p w:rsidR="00BB7F11" w:rsidRDefault="00A947D5">
            <w:pPr>
              <w:spacing w:line="360" w:lineRule="auto"/>
            </w:pPr>
            <w:r>
              <w:t>13,096</w:t>
            </w:r>
          </w:p>
        </w:tc>
        <w:tc>
          <w:tcPr>
            <w:tcW w:w="2088" w:type="dxa"/>
          </w:tcPr>
          <w:p w:rsidR="00BB7F11" w:rsidRDefault="00A947D5">
            <w:pPr>
              <w:spacing w:line="360" w:lineRule="auto"/>
            </w:pPr>
            <w:r>
              <w:t>7,499</w:t>
            </w:r>
          </w:p>
        </w:tc>
        <w:tc>
          <w:tcPr>
            <w:tcW w:w="2088" w:type="dxa"/>
          </w:tcPr>
          <w:p w:rsidR="00BB7F11" w:rsidRDefault="00A947D5">
            <w:pPr>
              <w:spacing w:line="360" w:lineRule="auto"/>
            </w:pPr>
            <w:r>
              <w:t>20,150</w:t>
            </w:r>
          </w:p>
        </w:tc>
      </w:tr>
      <w:tr w:rsidR="00BB7F11">
        <w:trPr>
          <w:jc w:val="center"/>
        </w:trPr>
        <w:tc>
          <w:tcPr>
            <w:tcW w:w="2160" w:type="dxa"/>
          </w:tcPr>
          <w:p w:rsidR="00BB7F11" w:rsidRDefault="00A947D5">
            <w:pPr>
              <w:spacing w:line="360" w:lineRule="auto"/>
            </w:pPr>
            <w:r>
              <w:t>19 Sep</w:t>
            </w:r>
          </w:p>
        </w:tc>
        <w:tc>
          <w:tcPr>
            <w:tcW w:w="2376" w:type="dxa"/>
          </w:tcPr>
          <w:p w:rsidR="00BB7F11" w:rsidRDefault="00A947D5">
            <w:pPr>
              <w:spacing w:line="360" w:lineRule="auto"/>
            </w:pPr>
            <w:r>
              <w:t>13,971</w:t>
            </w:r>
          </w:p>
        </w:tc>
        <w:tc>
          <w:tcPr>
            <w:tcW w:w="2088" w:type="dxa"/>
          </w:tcPr>
          <w:p w:rsidR="00BB7F11" w:rsidRDefault="00A947D5">
            <w:pPr>
              <w:spacing w:line="360" w:lineRule="auto"/>
            </w:pPr>
            <w:r>
              <w:t>8,000</w:t>
            </w:r>
          </w:p>
        </w:tc>
        <w:tc>
          <w:tcPr>
            <w:tcW w:w="2088" w:type="dxa"/>
          </w:tcPr>
          <w:p w:rsidR="00BB7F11" w:rsidRDefault="00A947D5">
            <w:pPr>
              <w:spacing w:line="360" w:lineRule="auto"/>
            </w:pPr>
            <w:r>
              <w:t>21,496</w:t>
            </w:r>
          </w:p>
        </w:tc>
      </w:tr>
      <w:tr w:rsidR="00BB7F11">
        <w:trPr>
          <w:jc w:val="center"/>
        </w:trPr>
        <w:tc>
          <w:tcPr>
            <w:tcW w:w="2160" w:type="dxa"/>
          </w:tcPr>
          <w:p w:rsidR="00BB7F11" w:rsidRDefault="00A947D5">
            <w:pPr>
              <w:spacing w:line="360" w:lineRule="auto"/>
            </w:pPr>
            <w:r>
              <w:t>20 Sep</w:t>
            </w:r>
          </w:p>
        </w:tc>
        <w:tc>
          <w:tcPr>
            <w:tcW w:w="2376" w:type="dxa"/>
          </w:tcPr>
          <w:p w:rsidR="00BB7F11" w:rsidRDefault="00A947D5">
            <w:pPr>
              <w:spacing w:line="360" w:lineRule="auto"/>
            </w:pPr>
            <w:r>
              <w:t>14,827</w:t>
            </w:r>
          </w:p>
        </w:tc>
        <w:tc>
          <w:tcPr>
            <w:tcW w:w="2088" w:type="dxa"/>
          </w:tcPr>
          <w:p w:rsidR="00BB7F11" w:rsidRDefault="00A947D5">
            <w:pPr>
              <w:spacing w:line="360" w:lineRule="auto"/>
            </w:pPr>
            <w:r>
              <w:t>8,490</w:t>
            </w:r>
          </w:p>
        </w:tc>
        <w:tc>
          <w:tcPr>
            <w:tcW w:w="2088" w:type="dxa"/>
          </w:tcPr>
          <w:p w:rsidR="00BB7F11" w:rsidRDefault="00A947D5">
            <w:pPr>
              <w:spacing w:line="360" w:lineRule="auto"/>
            </w:pPr>
            <w:r>
              <w:t>22,813</w:t>
            </w:r>
          </w:p>
        </w:tc>
      </w:tr>
      <w:tr w:rsidR="00BB7F11">
        <w:trPr>
          <w:jc w:val="center"/>
        </w:trPr>
        <w:tc>
          <w:tcPr>
            <w:tcW w:w="2160" w:type="dxa"/>
          </w:tcPr>
          <w:p w:rsidR="00BB7F11" w:rsidRDefault="00A947D5">
            <w:pPr>
              <w:spacing w:line="360" w:lineRule="auto"/>
            </w:pPr>
            <w:r>
              <w:t>21 Sep</w:t>
            </w:r>
          </w:p>
        </w:tc>
        <w:tc>
          <w:tcPr>
            <w:tcW w:w="2376" w:type="dxa"/>
          </w:tcPr>
          <w:p w:rsidR="00BB7F11" w:rsidRDefault="00A947D5">
            <w:pPr>
              <w:spacing w:line="360" w:lineRule="auto"/>
            </w:pPr>
            <w:r>
              <w:t>14,401</w:t>
            </w:r>
          </w:p>
        </w:tc>
        <w:tc>
          <w:tcPr>
            <w:tcW w:w="2088" w:type="dxa"/>
          </w:tcPr>
          <w:p w:rsidR="00BB7F11" w:rsidRDefault="00A947D5">
            <w:pPr>
              <w:spacing w:line="360" w:lineRule="auto"/>
            </w:pPr>
            <w:r>
              <w:t>8,246</w:t>
            </w:r>
          </w:p>
        </w:tc>
        <w:tc>
          <w:tcPr>
            <w:tcW w:w="2088" w:type="dxa"/>
          </w:tcPr>
          <w:p w:rsidR="00BB7F11" w:rsidRDefault="00A947D5">
            <w:pPr>
              <w:spacing w:line="360" w:lineRule="auto"/>
            </w:pPr>
            <w:r>
              <w:t>22,157</w:t>
            </w:r>
          </w:p>
        </w:tc>
      </w:tr>
      <w:tr w:rsidR="00BB7F11">
        <w:trPr>
          <w:jc w:val="center"/>
        </w:trPr>
        <w:tc>
          <w:tcPr>
            <w:tcW w:w="2160" w:type="dxa"/>
          </w:tcPr>
          <w:p w:rsidR="00BB7F11" w:rsidRDefault="00A947D5">
            <w:pPr>
              <w:spacing w:line="360" w:lineRule="auto"/>
            </w:pPr>
            <w:r>
              <w:t>22 Sep</w:t>
            </w:r>
          </w:p>
        </w:tc>
        <w:tc>
          <w:tcPr>
            <w:tcW w:w="2376" w:type="dxa"/>
          </w:tcPr>
          <w:p w:rsidR="00BB7F11" w:rsidRDefault="00A947D5">
            <w:pPr>
              <w:spacing w:line="360" w:lineRule="auto"/>
            </w:pPr>
            <w:r>
              <w:t>10,663</w:t>
            </w:r>
          </w:p>
        </w:tc>
        <w:tc>
          <w:tcPr>
            <w:tcW w:w="2088" w:type="dxa"/>
          </w:tcPr>
          <w:p w:rsidR="00BB7F11" w:rsidRDefault="00A947D5">
            <w:pPr>
              <w:spacing w:line="360" w:lineRule="auto"/>
            </w:pPr>
            <w:r>
              <w:t>6,106</w:t>
            </w:r>
          </w:p>
        </w:tc>
        <w:tc>
          <w:tcPr>
            <w:tcW w:w="2088" w:type="dxa"/>
          </w:tcPr>
          <w:p w:rsidR="00BB7F11" w:rsidRDefault="00A947D5">
            <w:pPr>
              <w:spacing w:line="360" w:lineRule="auto"/>
            </w:pPr>
            <w:r>
              <w:t>16,407</w:t>
            </w:r>
          </w:p>
        </w:tc>
      </w:tr>
      <w:tr w:rsidR="00BB7F11">
        <w:trPr>
          <w:jc w:val="center"/>
        </w:trPr>
        <w:tc>
          <w:tcPr>
            <w:tcW w:w="2160" w:type="dxa"/>
          </w:tcPr>
          <w:p w:rsidR="00BB7F11" w:rsidRDefault="00A947D5">
            <w:pPr>
              <w:spacing w:line="360" w:lineRule="auto"/>
            </w:pPr>
            <w:r>
              <w:t>23 Sep</w:t>
            </w:r>
          </w:p>
        </w:tc>
        <w:tc>
          <w:tcPr>
            <w:tcW w:w="2376" w:type="dxa"/>
          </w:tcPr>
          <w:p w:rsidR="00BB7F11" w:rsidRDefault="00A947D5">
            <w:pPr>
              <w:spacing w:line="360" w:lineRule="auto"/>
            </w:pPr>
            <w:r>
              <w:t>8,147</w:t>
            </w:r>
          </w:p>
        </w:tc>
        <w:tc>
          <w:tcPr>
            <w:tcW w:w="2088" w:type="dxa"/>
          </w:tcPr>
          <w:p w:rsidR="00BB7F11" w:rsidRDefault="00A947D5">
            <w:pPr>
              <w:spacing w:line="360" w:lineRule="auto"/>
            </w:pPr>
            <w:r>
              <w:t>4,665</w:t>
            </w:r>
          </w:p>
        </w:tc>
        <w:tc>
          <w:tcPr>
            <w:tcW w:w="2088" w:type="dxa"/>
          </w:tcPr>
          <w:p w:rsidR="00BB7F11" w:rsidRDefault="00A947D5">
            <w:pPr>
              <w:spacing w:line="360" w:lineRule="auto"/>
            </w:pPr>
            <w:r>
              <w:t>12,536</w:t>
            </w:r>
          </w:p>
        </w:tc>
      </w:tr>
      <w:tr w:rsidR="00BB7F11">
        <w:trPr>
          <w:jc w:val="center"/>
        </w:trPr>
        <w:tc>
          <w:tcPr>
            <w:tcW w:w="2160" w:type="dxa"/>
          </w:tcPr>
          <w:p w:rsidR="00BB7F11" w:rsidRDefault="00A947D5">
            <w:pPr>
              <w:spacing w:line="360" w:lineRule="auto"/>
            </w:pPr>
            <w:r>
              <w:t>24 Sep</w:t>
            </w:r>
          </w:p>
        </w:tc>
        <w:tc>
          <w:tcPr>
            <w:tcW w:w="2376" w:type="dxa"/>
          </w:tcPr>
          <w:p w:rsidR="00BB7F11" w:rsidRDefault="00A947D5">
            <w:pPr>
              <w:spacing w:line="360" w:lineRule="auto"/>
            </w:pPr>
            <w:r>
              <w:t>9,761</w:t>
            </w:r>
          </w:p>
        </w:tc>
        <w:tc>
          <w:tcPr>
            <w:tcW w:w="2088" w:type="dxa"/>
          </w:tcPr>
          <w:p w:rsidR="00BB7F11" w:rsidRDefault="00A947D5">
            <w:pPr>
              <w:spacing w:line="360" w:lineRule="auto"/>
            </w:pPr>
            <w:r>
              <w:t>5,589</w:t>
            </w:r>
          </w:p>
        </w:tc>
        <w:tc>
          <w:tcPr>
            <w:tcW w:w="2088" w:type="dxa"/>
          </w:tcPr>
          <w:p w:rsidR="00BB7F11" w:rsidRDefault="00A947D5">
            <w:pPr>
              <w:spacing w:line="360" w:lineRule="auto"/>
            </w:pPr>
            <w:r>
              <w:t>15,019</w:t>
            </w:r>
          </w:p>
        </w:tc>
      </w:tr>
      <w:tr w:rsidR="00BB7F11">
        <w:trPr>
          <w:jc w:val="center"/>
        </w:trPr>
        <w:tc>
          <w:tcPr>
            <w:tcW w:w="2160" w:type="dxa"/>
          </w:tcPr>
          <w:p w:rsidR="00BB7F11" w:rsidRDefault="00A947D5">
            <w:pPr>
              <w:spacing w:line="360" w:lineRule="auto"/>
            </w:pPr>
            <w:r>
              <w:t>25 Sep</w:t>
            </w:r>
          </w:p>
        </w:tc>
        <w:tc>
          <w:tcPr>
            <w:tcW w:w="2376" w:type="dxa"/>
          </w:tcPr>
          <w:p w:rsidR="00BB7F11" w:rsidRDefault="00A947D5">
            <w:pPr>
              <w:spacing w:line="360" w:lineRule="auto"/>
            </w:pPr>
            <w:r>
              <w:t>10,542</w:t>
            </w:r>
          </w:p>
        </w:tc>
        <w:tc>
          <w:tcPr>
            <w:tcW w:w="2088" w:type="dxa"/>
          </w:tcPr>
          <w:p w:rsidR="00BB7F11" w:rsidRDefault="00A947D5">
            <w:pPr>
              <w:spacing w:line="360" w:lineRule="auto"/>
            </w:pPr>
            <w:r>
              <w:t>6,036</w:t>
            </w:r>
          </w:p>
        </w:tc>
        <w:tc>
          <w:tcPr>
            <w:tcW w:w="2088" w:type="dxa"/>
          </w:tcPr>
          <w:p w:rsidR="00BB7F11" w:rsidRDefault="00A947D5">
            <w:pPr>
              <w:spacing w:line="360" w:lineRule="auto"/>
            </w:pPr>
            <w:r>
              <w:t>16,221</w:t>
            </w:r>
          </w:p>
        </w:tc>
      </w:tr>
      <w:tr w:rsidR="00BB7F11">
        <w:trPr>
          <w:jc w:val="center"/>
        </w:trPr>
        <w:tc>
          <w:tcPr>
            <w:tcW w:w="2160" w:type="dxa"/>
          </w:tcPr>
          <w:p w:rsidR="00BB7F11" w:rsidRDefault="00A947D5">
            <w:pPr>
              <w:spacing w:line="360" w:lineRule="auto"/>
            </w:pPr>
            <w:r>
              <w:t>26 Sep</w:t>
            </w:r>
          </w:p>
        </w:tc>
        <w:tc>
          <w:tcPr>
            <w:tcW w:w="2376" w:type="dxa"/>
          </w:tcPr>
          <w:p w:rsidR="00BB7F11" w:rsidRDefault="00A947D5">
            <w:pPr>
              <w:spacing w:line="360" w:lineRule="auto"/>
            </w:pPr>
            <w:r>
              <w:t>9,709</w:t>
            </w:r>
          </w:p>
        </w:tc>
        <w:tc>
          <w:tcPr>
            <w:tcW w:w="2088" w:type="dxa"/>
          </w:tcPr>
          <w:p w:rsidR="00BB7F11" w:rsidRDefault="00A947D5">
            <w:pPr>
              <w:spacing w:line="360" w:lineRule="auto"/>
            </w:pPr>
            <w:r>
              <w:t>5,559</w:t>
            </w:r>
          </w:p>
        </w:tc>
        <w:tc>
          <w:tcPr>
            <w:tcW w:w="2088" w:type="dxa"/>
          </w:tcPr>
          <w:p w:rsidR="00BB7F11" w:rsidRDefault="00A947D5">
            <w:pPr>
              <w:spacing w:line="360" w:lineRule="auto"/>
            </w:pPr>
            <w:r>
              <w:t>14,938</w:t>
            </w:r>
          </w:p>
        </w:tc>
      </w:tr>
      <w:tr w:rsidR="00BB7F11">
        <w:trPr>
          <w:jc w:val="center"/>
        </w:trPr>
        <w:tc>
          <w:tcPr>
            <w:tcW w:w="2160" w:type="dxa"/>
          </w:tcPr>
          <w:p w:rsidR="00BB7F11" w:rsidRDefault="00A947D5">
            <w:pPr>
              <w:spacing w:line="360" w:lineRule="auto"/>
            </w:pPr>
            <w:r>
              <w:t>27 Sep</w:t>
            </w:r>
          </w:p>
        </w:tc>
        <w:tc>
          <w:tcPr>
            <w:tcW w:w="2376" w:type="dxa"/>
          </w:tcPr>
          <w:p w:rsidR="00BB7F11" w:rsidRDefault="00A947D5">
            <w:pPr>
              <w:spacing w:line="360" w:lineRule="auto"/>
            </w:pPr>
            <w:r>
              <w:t>12,735</w:t>
            </w:r>
          </w:p>
        </w:tc>
        <w:tc>
          <w:tcPr>
            <w:tcW w:w="2088" w:type="dxa"/>
          </w:tcPr>
          <w:p w:rsidR="00BB7F11" w:rsidRDefault="00A947D5">
            <w:pPr>
              <w:spacing w:line="360" w:lineRule="auto"/>
            </w:pPr>
            <w:r>
              <w:t>7,292</w:t>
            </w:r>
          </w:p>
        </w:tc>
        <w:tc>
          <w:tcPr>
            <w:tcW w:w="2088" w:type="dxa"/>
          </w:tcPr>
          <w:p w:rsidR="00BB7F11" w:rsidRDefault="00A947D5">
            <w:pPr>
              <w:spacing w:line="360" w:lineRule="auto"/>
            </w:pPr>
            <w:r>
              <w:t>19,594</w:t>
            </w:r>
          </w:p>
        </w:tc>
      </w:tr>
      <w:tr w:rsidR="00BB7F11">
        <w:trPr>
          <w:jc w:val="center"/>
        </w:trPr>
        <w:tc>
          <w:tcPr>
            <w:tcW w:w="2160" w:type="dxa"/>
          </w:tcPr>
          <w:p w:rsidR="00BB7F11" w:rsidRDefault="00A947D5">
            <w:pPr>
              <w:spacing w:line="360" w:lineRule="auto"/>
            </w:pPr>
            <w:r>
              <w:t>28 Sep</w:t>
            </w:r>
          </w:p>
        </w:tc>
        <w:tc>
          <w:tcPr>
            <w:tcW w:w="2376" w:type="dxa"/>
          </w:tcPr>
          <w:p w:rsidR="00BB7F11" w:rsidRDefault="00A947D5">
            <w:pPr>
              <w:spacing w:line="360" w:lineRule="auto"/>
            </w:pPr>
            <w:r>
              <w:t>12,516</w:t>
            </w:r>
          </w:p>
        </w:tc>
        <w:tc>
          <w:tcPr>
            <w:tcW w:w="2088" w:type="dxa"/>
          </w:tcPr>
          <w:p w:rsidR="00BB7F11" w:rsidRDefault="00A947D5">
            <w:pPr>
              <w:spacing w:line="360" w:lineRule="auto"/>
            </w:pPr>
            <w:r>
              <w:t>7,166</w:t>
            </w:r>
          </w:p>
        </w:tc>
        <w:tc>
          <w:tcPr>
            <w:tcW w:w="2088" w:type="dxa"/>
          </w:tcPr>
          <w:p w:rsidR="00BB7F11" w:rsidRDefault="00A947D5">
            <w:pPr>
              <w:spacing w:line="360" w:lineRule="auto"/>
            </w:pPr>
            <w:r>
              <w:t>19,257</w:t>
            </w:r>
          </w:p>
        </w:tc>
      </w:tr>
      <w:tr w:rsidR="00BB7F11">
        <w:trPr>
          <w:jc w:val="center"/>
        </w:trPr>
        <w:tc>
          <w:tcPr>
            <w:tcW w:w="2160" w:type="dxa"/>
          </w:tcPr>
          <w:p w:rsidR="00BB7F11" w:rsidRDefault="00A947D5">
            <w:pPr>
              <w:spacing w:line="360" w:lineRule="auto"/>
            </w:pPr>
            <w:r>
              <w:t>29 Sep</w:t>
            </w:r>
          </w:p>
        </w:tc>
        <w:tc>
          <w:tcPr>
            <w:tcW w:w="2376" w:type="dxa"/>
          </w:tcPr>
          <w:p w:rsidR="00BB7F11" w:rsidRDefault="00A947D5">
            <w:pPr>
              <w:spacing w:line="360" w:lineRule="auto"/>
            </w:pPr>
            <w:r>
              <w:t>10,738</w:t>
            </w:r>
          </w:p>
        </w:tc>
        <w:tc>
          <w:tcPr>
            <w:tcW w:w="2088" w:type="dxa"/>
          </w:tcPr>
          <w:p w:rsidR="00BB7F11" w:rsidRDefault="00A947D5">
            <w:pPr>
              <w:spacing w:line="360" w:lineRule="auto"/>
            </w:pPr>
            <w:r>
              <w:t>6,148</w:t>
            </w:r>
          </w:p>
        </w:tc>
        <w:tc>
          <w:tcPr>
            <w:tcW w:w="2088" w:type="dxa"/>
          </w:tcPr>
          <w:p w:rsidR="00BB7F11" w:rsidRDefault="00A947D5">
            <w:pPr>
              <w:spacing w:line="360" w:lineRule="auto"/>
            </w:pPr>
            <w:r>
              <w:t>16,521</w:t>
            </w:r>
          </w:p>
        </w:tc>
      </w:tr>
      <w:tr w:rsidR="00BB7F11">
        <w:trPr>
          <w:jc w:val="center"/>
        </w:trPr>
        <w:tc>
          <w:tcPr>
            <w:tcW w:w="2160" w:type="dxa"/>
          </w:tcPr>
          <w:p w:rsidR="00BB7F11" w:rsidRDefault="00A947D5">
            <w:pPr>
              <w:spacing w:line="360" w:lineRule="auto"/>
            </w:pPr>
            <w:r>
              <w:lastRenderedPageBreak/>
              <w:t>30 Sep</w:t>
            </w:r>
          </w:p>
        </w:tc>
        <w:tc>
          <w:tcPr>
            <w:tcW w:w="2376" w:type="dxa"/>
          </w:tcPr>
          <w:p w:rsidR="00BB7F11" w:rsidRDefault="00A947D5">
            <w:pPr>
              <w:spacing w:line="360" w:lineRule="auto"/>
            </w:pPr>
            <w:r>
              <w:t>9,578</w:t>
            </w:r>
          </w:p>
        </w:tc>
        <w:tc>
          <w:tcPr>
            <w:tcW w:w="2088" w:type="dxa"/>
          </w:tcPr>
          <w:p w:rsidR="00BB7F11" w:rsidRDefault="00A947D5">
            <w:pPr>
              <w:spacing w:line="360" w:lineRule="auto"/>
            </w:pPr>
            <w:r>
              <w:t>5,484</w:t>
            </w:r>
          </w:p>
        </w:tc>
        <w:tc>
          <w:tcPr>
            <w:tcW w:w="2088" w:type="dxa"/>
          </w:tcPr>
          <w:p w:rsidR="00BB7F11" w:rsidRDefault="00A947D5">
            <w:pPr>
              <w:spacing w:line="360" w:lineRule="auto"/>
            </w:pPr>
            <w:r>
              <w:t>14,736</w:t>
            </w:r>
          </w:p>
        </w:tc>
      </w:tr>
    </w:tbl>
    <w:p w:rsidR="00BB7F11" w:rsidRDefault="00BB7F11">
      <w:pPr>
        <w:spacing w:line="360" w:lineRule="auto"/>
      </w:pPr>
    </w:p>
    <w:p w:rsidR="00BB7F11" w:rsidRDefault="00BB7F11">
      <w:pPr>
        <w:spacing w:line="360" w:lineRule="auto"/>
      </w:pPr>
    </w:p>
    <w:sectPr w:rsidR="00BB7F11" w:rsidSect="002F008C">
      <w:headerReference w:type="default" r:id="rId33"/>
      <w:footerReference w:type="default" r:id="rId34"/>
      <w:pgSz w:w="12240" w:h="15840"/>
      <w:pgMar w:top="1037" w:right="1123" w:bottom="979" w:left="1123" w:header="720" w:footer="720" w:gutter="0"/>
      <w:pgBorders w:offsetFrom="page">
        <w:top w:val="single" w:sz="4" w:space="24" w:color="auto"/>
        <w:left w:val="single" w:sz="4" w:space="24" w:color="auto"/>
        <w:bottom w:val="single" w:sz="4" w:space="24" w:color="auto"/>
        <w:right w:val="single" w:sz="4" w:space="24" w:color="auto"/>
      </w:pgBorders>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47D5" w:rsidRDefault="00A947D5">
      <w:pPr>
        <w:spacing w:after="0" w:line="240" w:lineRule="auto"/>
      </w:pPr>
      <w:r>
        <w:separator/>
      </w:r>
    </w:p>
  </w:endnote>
  <w:endnote w:type="continuationSeparator" w:id="0">
    <w:p w:rsidR="00A947D5" w:rsidRDefault="00A94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985DBB4-5DF4-4409-8B9F-B3DDA4FAA8BE}"/>
    <w:embedBold r:id="rId2" w:fontKey="{BFDC3440-BD70-499B-89B6-00640AB94577}"/>
    <w:embedItalic r:id="rId3" w:fontKey="{D86291BE-AF97-4155-853D-B7BC89A3C20D}"/>
    <w:embedBoldItalic r:id="rId4" w:fontKey="{07634EC3-8E1A-46D2-9FDD-3681DE588E9A}"/>
  </w:font>
  <w:font w:name="Tahoma">
    <w:panose1 w:val="020B0604030504040204"/>
    <w:charset w:val="00"/>
    <w:family w:val="swiss"/>
    <w:pitch w:val="variable"/>
    <w:sig w:usb0="E1002EFF" w:usb1="C000605B" w:usb2="00000029" w:usb3="00000000" w:csb0="000101FF" w:csb1="00000000"/>
    <w:embedRegular r:id="rId5" w:fontKey="{08E3871B-6770-4E1D-A281-1CB266820334}"/>
  </w:font>
  <w:font w:name="Gungsuh">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embedRegular r:id="rId6" w:fontKey="{0F560582-74E9-48C7-B955-DE83C997B46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7F11" w:rsidRDefault="00A947D5">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sidR="002F008C">
      <w:rPr>
        <w:color w:val="000000"/>
      </w:rPr>
      <w:fldChar w:fldCharType="separate"/>
    </w:r>
    <w:r w:rsidR="002F008C">
      <w:rPr>
        <w:noProof/>
        <w:color w:val="000000"/>
      </w:rPr>
      <w:t>6</w:t>
    </w:r>
    <w:r>
      <w:rPr>
        <w:color w:val="00000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47D5" w:rsidRDefault="00A947D5">
      <w:pPr>
        <w:spacing w:after="0" w:line="240" w:lineRule="auto"/>
      </w:pPr>
      <w:r>
        <w:separator/>
      </w:r>
    </w:p>
  </w:footnote>
  <w:footnote w:type="continuationSeparator" w:id="0">
    <w:p w:rsidR="00A947D5" w:rsidRDefault="00A947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7F11" w:rsidRDefault="00BB7F11">
    <w:pPr>
      <w:pBdr>
        <w:top w:val="nil"/>
        <w:left w:val="nil"/>
        <w:bottom w:val="nil"/>
        <w:right w:val="nil"/>
        <w:between w:val="nil"/>
      </w:pBdr>
      <w:tabs>
        <w:tab w:val="center" w:pos="4680"/>
        <w:tab w:val="right" w:pos="9360"/>
      </w:tabs>
      <w:spacing w:after="0" w:line="240" w:lineRule="auto"/>
      <w:jc w:val="right"/>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BB7F11"/>
    <w:rsid w:val="002F008C"/>
    <w:rsid w:val="00A947D5"/>
    <w:rsid w:val="00BB7F1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eastAsia="en-IN" w:bidi="ar-SA"/>
      </w:rPr>
    </w:rPrDefault>
    <w:pPrDefault>
      <w:pPr>
        <w:spacing w:after="110" w:line="26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200" w:after="100"/>
      <w:outlineLvl w:val="0"/>
    </w:pPr>
    <w:rPr>
      <w:b/>
      <w:bCs/>
      <w:sz w:val="28"/>
      <w:szCs w:val="28"/>
    </w:rPr>
  </w:style>
  <w:style w:type="paragraph" w:styleId="Heading2">
    <w:name w:val="heading 2"/>
    <w:basedOn w:val="Normal"/>
    <w:next w:val="Normal"/>
    <w:pPr>
      <w:keepNext/>
      <w:keepLines/>
      <w:spacing w:before="200" w:after="100"/>
      <w:outlineLvl w:val="1"/>
    </w:pPr>
    <w:rPr>
      <w:b/>
      <w:bCs/>
    </w:rPr>
  </w:style>
  <w:style w:type="paragraph" w:styleId="Heading3">
    <w:name w:val="heading 3"/>
    <w:basedOn w:val="Normal"/>
    <w:next w:val="Normal"/>
    <w:pPr>
      <w:keepNext/>
      <w:keepLines/>
      <w:spacing w:before="200" w:after="100"/>
      <w:outlineLvl w:val="2"/>
    </w:pPr>
    <w:rPr>
      <w:rFonts w:ascii="Calibri" w:eastAsia="Calibri" w:hAnsi="Calibri" w:cs="Calibri"/>
      <w:b/>
      <w:bCs/>
      <w:color w:val="2F6B9A"/>
      <w:sz w:val="21"/>
      <w:szCs w:val="21"/>
    </w:rPr>
  </w:style>
  <w:style w:type="paragraph" w:styleId="Heading4">
    <w:name w:val="heading 4"/>
    <w:basedOn w:val="Normal"/>
    <w:next w:val="Normal"/>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pPr>
      <w:keepNext/>
      <w:keepLines/>
      <w:spacing w:before="200" w:after="0"/>
      <w:outlineLvl w:val="4"/>
    </w:pPr>
    <w:rPr>
      <w:rFonts w:ascii="Calibri" w:eastAsia="Calibri" w:hAnsi="Calibri" w:cs="Calibri"/>
      <w:color w:val="243F61"/>
    </w:rPr>
  </w:style>
  <w:style w:type="paragraph" w:styleId="Heading6">
    <w:name w:val="heading 6"/>
    <w:basedOn w:val="Normal"/>
    <w:next w:val="Normal"/>
    <w:pPr>
      <w:keepNext/>
      <w:keepLines/>
      <w:spacing w:before="200" w:after="0"/>
      <w:outlineLvl w:val="5"/>
    </w:pPr>
    <w:rPr>
      <w:rFonts w:ascii="Calibri" w:eastAsia="Calibri" w:hAnsi="Calibri" w:cs="Calibri"/>
      <w:i/>
      <w:iCs/>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pBdr>
        <w:bottom w:val="single" w:sz="8" w:space="4" w:color="4F81BD"/>
      </w:pBdr>
      <w:spacing w:after="100" w:line="240" w:lineRule="auto"/>
    </w:pPr>
    <w:rPr>
      <w:rFonts w:ascii="Calibri" w:eastAsia="Calibri" w:hAnsi="Calibri" w:cs="Calibri"/>
      <w:b/>
      <w:bCs/>
      <w:color w:val="17365D"/>
      <w:sz w:val="48"/>
      <w:szCs w:val="48"/>
    </w:rPr>
  </w:style>
  <w:style w:type="paragraph" w:styleId="Subtitle">
    <w:name w:val="Subtitle"/>
    <w:basedOn w:val="Normal"/>
    <w:next w:val="Normal"/>
    <w:rPr>
      <w:rFonts w:ascii="Calibri" w:eastAsia="Calibri" w:hAnsi="Calibri" w:cs="Calibri"/>
      <w:i/>
      <w:iCs/>
      <w:color w:val="4F81BD"/>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F00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008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eastAsia="en-IN" w:bidi="ar-SA"/>
      </w:rPr>
    </w:rPrDefault>
    <w:pPrDefault>
      <w:pPr>
        <w:spacing w:after="110" w:line="26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200" w:after="100"/>
      <w:outlineLvl w:val="0"/>
    </w:pPr>
    <w:rPr>
      <w:b/>
      <w:bCs/>
      <w:sz w:val="28"/>
      <w:szCs w:val="28"/>
    </w:rPr>
  </w:style>
  <w:style w:type="paragraph" w:styleId="Heading2">
    <w:name w:val="heading 2"/>
    <w:basedOn w:val="Normal"/>
    <w:next w:val="Normal"/>
    <w:pPr>
      <w:keepNext/>
      <w:keepLines/>
      <w:spacing w:before="200" w:after="100"/>
      <w:outlineLvl w:val="1"/>
    </w:pPr>
    <w:rPr>
      <w:b/>
      <w:bCs/>
    </w:rPr>
  </w:style>
  <w:style w:type="paragraph" w:styleId="Heading3">
    <w:name w:val="heading 3"/>
    <w:basedOn w:val="Normal"/>
    <w:next w:val="Normal"/>
    <w:pPr>
      <w:keepNext/>
      <w:keepLines/>
      <w:spacing w:before="200" w:after="100"/>
      <w:outlineLvl w:val="2"/>
    </w:pPr>
    <w:rPr>
      <w:rFonts w:ascii="Calibri" w:eastAsia="Calibri" w:hAnsi="Calibri" w:cs="Calibri"/>
      <w:b/>
      <w:bCs/>
      <w:color w:val="2F6B9A"/>
      <w:sz w:val="21"/>
      <w:szCs w:val="21"/>
    </w:rPr>
  </w:style>
  <w:style w:type="paragraph" w:styleId="Heading4">
    <w:name w:val="heading 4"/>
    <w:basedOn w:val="Normal"/>
    <w:next w:val="Normal"/>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pPr>
      <w:keepNext/>
      <w:keepLines/>
      <w:spacing w:before="200" w:after="0"/>
      <w:outlineLvl w:val="4"/>
    </w:pPr>
    <w:rPr>
      <w:rFonts w:ascii="Calibri" w:eastAsia="Calibri" w:hAnsi="Calibri" w:cs="Calibri"/>
      <w:color w:val="243F61"/>
    </w:rPr>
  </w:style>
  <w:style w:type="paragraph" w:styleId="Heading6">
    <w:name w:val="heading 6"/>
    <w:basedOn w:val="Normal"/>
    <w:next w:val="Normal"/>
    <w:pPr>
      <w:keepNext/>
      <w:keepLines/>
      <w:spacing w:before="200" w:after="0"/>
      <w:outlineLvl w:val="5"/>
    </w:pPr>
    <w:rPr>
      <w:rFonts w:ascii="Calibri" w:eastAsia="Calibri" w:hAnsi="Calibri" w:cs="Calibri"/>
      <w:i/>
      <w:iCs/>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pBdr>
        <w:bottom w:val="single" w:sz="8" w:space="4" w:color="4F81BD"/>
      </w:pBdr>
      <w:spacing w:after="100" w:line="240" w:lineRule="auto"/>
    </w:pPr>
    <w:rPr>
      <w:rFonts w:ascii="Calibri" w:eastAsia="Calibri" w:hAnsi="Calibri" w:cs="Calibri"/>
      <w:b/>
      <w:bCs/>
      <w:color w:val="17365D"/>
      <w:sz w:val="48"/>
      <w:szCs w:val="48"/>
    </w:rPr>
  </w:style>
  <w:style w:type="paragraph" w:styleId="Subtitle">
    <w:name w:val="Subtitle"/>
    <w:basedOn w:val="Normal"/>
    <w:next w:val="Normal"/>
    <w:rPr>
      <w:rFonts w:ascii="Calibri" w:eastAsia="Calibri" w:hAnsi="Calibri" w:cs="Calibri"/>
      <w:i/>
      <w:iCs/>
      <w:color w:val="4F81BD"/>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F00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008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yperlink" Target="https://doi.org/10.56578/hf010105" TargetMode="External"/><Relationship Id="rId26" Type="http://schemas.openxmlformats.org/officeDocument/2006/relationships/hyperlink" Target="https://www.researchgate.net/profile/Victor-Iheaka/publication/390065025_Diagnosing_and_correcting_violations_of_normality_and_constant_variance_assumptions_in_multiple_linear_regression_analysis/links/67ddbea53ad6d174c4a4db05/Diagnosing-and-correcting-violations-of-normality-and-constant-variance-assumptions-in-multiple-linear-regression-analysis.pdf" TargetMode="External"/><Relationship Id="rId3" Type="http://schemas.openxmlformats.org/officeDocument/2006/relationships/styles" Target="styles.xml"/><Relationship Id="rId21" Type="http://schemas.openxmlformats.org/officeDocument/2006/relationships/hyperlink" Target="https://doi.org/10.1186/s12859-022-04675-1" TargetMode="External"/><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s://doi.org/10.3390/inventions7040094" TargetMode="External"/><Relationship Id="rId25" Type="http://schemas.openxmlformats.org/officeDocument/2006/relationships/hyperlink" Target="https://arxiv.org/pdf/2607.03331"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hyperlink" Target="https://cyberleninka.ru/article/n/regression-based-on-decision-tree-algorithm-1" TargetMode="External"/><Relationship Id="rId29" Type="http://schemas.openxmlformats.org/officeDocument/2006/relationships/hyperlink" Target="https://arxiv.org/pdf/2511.1361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doi.org/10.1108/IMDS-01-2022-0056" TargetMode="External"/><Relationship Id="rId32" Type="http://schemas.openxmlformats.org/officeDocument/2006/relationships/hyperlink" Target="https://doi.org/10.3311/PPtr.25663" TargetMode="Externa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hyperlink" Target="https://doi.org/10.3390/math12162523" TargetMode="External"/><Relationship Id="rId28" Type="http://schemas.openxmlformats.org/officeDocument/2006/relationships/hyperlink" Target="https://www.kaggle.com/datasets/taweilo/capital-bikeshare-dataset-202005202408" TargetMode="External"/><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doi.org/10.1007/s41060-025-00820-0" TargetMode="External"/><Relationship Id="rId31" Type="http://schemas.openxmlformats.org/officeDocument/2006/relationships/hyperlink" Target="https://arxiv.org/pdf/2511.12698"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https://papers.ssrn.com/sol3/Delivery.cfm?abstractid=6883007" TargetMode="External"/><Relationship Id="rId27" Type="http://schemas.openxmlformats.org/officeDocument/2006/relationships/hyperlink" Target="https://doi.org/10.1186/s40537-025-01091-z" TargetMode="External"/><Relationship Id="rId30" Type="http://schemas.openxmlformats.org/officeDocument/2006/relationships/hyperlink" Target="https://doi.org/10.3390/stats7040072" TargetMode="External"/><Relationship Id="rId35"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RLXoWdcOzAQxwCqtRbTkIqSPUg==">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</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A414FF3-60EB-4DE4-9589-AB23716EC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19</Pages>
  <Words>4226</Words>
  <Characters>24089</Characters>
  <Application>Microsoft Office Word</Application>
  <DocSecurity>0</DocSecurity>
  <Lines>200</Lines>
  <Paragraphs>56</Paragraphs>
  <ScaleCrop>false</ScaleCrop>
  <Company/>
  <LinksUpToDate>false</LinksUpToDate>
  <CharactersWithSpaces>28259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Biplab Paul</cp:lastModifiedBy>
  <cp:revision>2</cp:revision>
  <dcterms:created xsi:type="dcterms:W3CDTF">2026-07-22T14:09:00Z</dcterms:created>
  <dcterms:modified xsi:type="dcterms:W3CDTF">2026-07-22T14:13:00Z</dcterms:modified>
</cp:coreProperties>
</file>